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75" w:rsidRDefault="00FD2B75" w:rsidP="00EA4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D2B75" w:rsidRDefault="00FD2B75" w:rsidP="00EA4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34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065" cy="647065"/>
            <wp:effectExtent l="19050" t="0" r="635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4E" w:rsidRPr="001220D8" w:rsidRDefault="00FD2B75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АДМИНИСТРАЦИЯ</w:t>
      </w:r>
    </w:p>
    <w:p w:rsidR="003A420B" w:rsidRPr="001220D8" w:rsidRDefault="009D2CBC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БРАГУН</w:t>
      </w:r>
      <w:r w:rsidR="00412F61" w:rsidRPr="001220D8">
        <w:rPr>
          <w:rFonts w:ascii="Times New Roman" w:hAnsi="Times New Roman"/>
          <w:bCs/>
          <w:sz w:val="32"/>
          <w:szCs w:val="28"/>
        </w:rPr>
        <w:t>СКОГО</w:t>
      </w:r>
      <w:r w:rsidR="003A420B" w:rsidRPr="001220D8">
        <w:rPr>
          <w:rFonts w:ascii="Times New Roman" w:hAnsi="Times New Roman"/>
          <w:bCs/>
          <w:sz w:val="32"/>
          <w:szCs w:val="28"/>
        </w:rPr>
        <w:t xml:space="preserve">  СЕЛЬСКОГО  ПОСЕЛЕНИЯ</w:t>
      </w:r>
    </w:p>
    <w:p w:rsidR="00FD2B75" w:rsidRPr="001220D8" w:rsidRDefault="001220D8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 xml:space="preserve">ГУДЕРМЕССКОГО МУНИЦИПАЛЬНОГО </w:t>
      </w:r>
      <w:r w:rsidR="00FD2B75" w:rsidRPr="001220D8">
        <w:rPr>
          <w:rFonts w:ascii="Times New Roman" w:hAnsi="Times New Roman"/>
          <w:bCs/>
          <w:sz w:val="32"/>
          <w:szCs w:val="28"/>
        </w:rPr>
        <w:t>РАЙОН</w:t>
      </w:r>
      <w:r w:rsidRPr="001220D8">
        <w:rPr>
          <w:rFonts w:ascii="Times New Roman" w:hAnsi="Times New Roman"/>
          <w:bCs/>
          <w:sz w:val="32"/>
          <w:szCs w:val="28"/>
        </w:rPr>
        <w:t>А</w:t>
      </w:r>
    </w:p>
    <w:p w:rsidR="00FD2B75" w:rsidRPr="001220D8" w:rsidRDefault="00FD2B75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ЧЕЧЕНСК</w:t>
      </w:r>
      <w:r w:rsidR="001220D8" w:rsidRPr="001220D8">
        <w:rPr>
          <w:rFonts w:ascii="Times New Roman" w:hAnsi="Times New Roman"/>
          <w:bCs/>
          <w:sz w:val="32"/>
          <w:szCs w:val="28"/>
        </w:rPr>
        <w:t>ОЙ</w:t>
      </w:r>
      <w:r w:rsidRPr="001220D8">
        <w:rPr>
          <w:rFonts w:ascii="Times New Roman" w:hAnsi="Times New Roman"/>
          <w:bCs/>
          <w:sz w:val="32"/>
          <w:szCs w:val="28"/>
        </w:rPr>
        <w:t xml:space="preserve"> </w:t>
      </w:r>
      <w:r w:rsidR="001220D8" w:rsidRPr="001220D8">
        <w:rPr>
          <w:rFonts w:ascii="Times New Roman" w:hAnsi="Times New Roman"/>
          <w:bCs/>
          <w:sz w:val="32"/>
          <w:szCs w:val="28"/>
        </w:rPr>
        <w:t>РЕСПУБЛИКИ</w:t>
      </w:r>
    </w:p>
    <w:p w:rsidR="003A420B" w:rsidRPr="00EA463B" w:rsidRDefault="00EA463B" w:rsidP="003A4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63B">
        <w:rPr>
          <w:rFonts w:ascii="Times New Roman" w:hAnsi="Times New Roman"/>
          <w:b/>
          <w:sz w:val="28"/>
          <w:szCs w:val="28"/>
        </w:rPr>
        <w:t xml:space="preserve"> </w:t>
      </w:r>
    </w:p>
    <w:p w:rsidR="003A420B" w:rsidRDefault="00EA463B" w:rsidP="00EA463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1BAF" w:rsidRDefault="00561BAF" w:rsidP="003A420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BAF">
        <w:rPr>
          <w:rFonts w:ascii="Times New Roman" w:hAnsi="Times New Roman"/>
          <w:sz w:val="28"/>
          <w:szCs w:val="28"/>
        </w:rPr>
        <w:t>ПОСТАНОВЛЕНИЕ</w:t>
      </w:r>
    </w:p>
    <w:p w:rsidR="006336BB" w:rsidRPr="00561BAF" w:rsidRDefault="006336BB" w:rsidP="006336B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BAF" w:rsidRPr="00561BAF" w:rsidRDefault="006D13E8" w:rsidP="006336BB">
      <w:pPr>
        <w:tabs>
          <w:tab w:val="left" w:pos="1080"/>
          <w:tab w:val="left" w:pos="8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A46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EA46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6C087E">
        <w:rPr>
          <w:rFonts w:ascii="Times New Roman" w:hAnsi="Times New Roman"/>
          <w:sz w:val="28"/>
          <w:szCs w:val="28"/>
        </w:rPr>
        <w:t>2016 г.</w:t>
      </w:r>
      <w:r w:rsidR="00EA463B">
        <w:rPr>
          <w:rFonts w:ascii="Times New Roman" w:hAnsi="Times New Roman"/>
          <w:sz w:val="28"/>
          <w:szCs w:val="28"/>
        </w:rPr>
        <w:t xml:space="preserve">                     </w:t>
      </w:r>
      <w:r w:rsidR="00C5434E">
        <w:rPr>
          <w:rFonts w:ascii="Times New Roman" w:hAnsi="Times New Roman"/>
          <w:sz w:val="28"/>
          <w:szCs w:val="28"/>
        </w:rPr>
        <w:t xml:space="preserve">         </w:t>
      </w:r>
      <w:r w:rsidR="00EA463B">
        <w:rPr>
          <w:rFonts w:ascii="Times New Roman" w:hAnsi="Times New Roman"/>
          <w:sz w:val="28"/>
          <w:szCs w:val="28"/>
        </w:rPr>
        <w:t xml:space="preserve">  </w:t>
      </w:r>
      <w:r w:rsidR="00FB3482">
        <w:rPr>
          <w:rFonts w:ascii="Times New Roman" w:hAnsi="Times New Roman"/>
          <w:sz w:val="28"/>
          <w:szCs w:val="28"/>
        </w:rPr>
        <w:t>№ 18</w:t>
      </w:r>
      <w:r>
        <w:rPr>
          <w:rFonts w:ascii="Times New Roman" w:hAnsi="Times New Roman"/>
          <w:sz w:val="28"/>
          <w:szCs w:val="28"/>
        </w:rPr>
        <w:t xml:space="preserve"> </w:t>
      </w:r>
      <w:r w:rsidR="00EA463B">
        <w:rPr>
          <w:rFonts w:ascii="Times New Roman" w:hAnsi="Times New Roman"/>
          <w:sz w:val="28"/>
          <w:szCs w:val="28"/>
        </w:rPr>
        <w:t xml:space="preserve">           </w:t>
      </w:r>
      <w:r w:rsidR="00FD2B75">
        <w:rPr>
          <w:rFonts w:ascii="Times New Roman" w:hAnsi="Times New Roman"/>
          <w:sz w:val="28"/>
          <w:szCs w:val="28"/>
        </w:rPr>
        <w:t xml:space="preserve">      </w:t>
      </w:r>
      <w:r w:rsidR="00EA46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</w:t>
      </w:r>
      <w:r w:rsidR="009D2CBC">
        <w:rPr>
          <w:rFonts w:ascii="Times New Roman" w:hAnsi="Times New Roman"/>
          <w:sz w:val="28"/>
          <w:szCs w:val="28"/>
        </w:rPr>
        <w:t>Брагуны</w:t>
      </w:r>
    </w:p>
    <w:p w:rsidR="006336BB" w:rsidRDefault="006336BB" w:rsidP="00F45C03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1765" w:rsidRDefault="00631765" w:rsidP="0063176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3D75" w:rsidRPr="008C3D75" w:rsidRDefault="008C3D75" w:rsidP="008C3D7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Программы комплексного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Брагунского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Гудермесского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Чеченской Республики</w:t>
      </w:r>
      <w:r w:rsidR="00D31C7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2016- 2026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8C3D75" w:rsidRPr="008C3D75" w:rsidRDefault="008C3D75" w:rsidP="008C3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63B" w:rsidRDefault="00EA463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№ 502 «Об утверждении требований к программам комплексного развития коммунальной инфраструктуры поселений, городских округов»,  на основании Устава Брагунского сельского поселения, администрация Брагунского сельского поселения</w:t>
      </w: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C7B" w:rsidRDefault="00D31C7B" w:rsidP="00D31C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C7B" w:rsidRDefault="00D31C7B" w:rsidP="00D31C7B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Программу комплексного развития коммунальной инфраструктуры Брагунского сельского поселения Гудермесского района Чеченской Республики на 2016- 2026 годы. (Приложение 1)</w:t>
      </w:r>
    </w:p>
    <w:p w:rsidR="00D31C7B" w:rsidRDefault="00D31C7B" w:rsidP="00D31C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 настоящего постановления оставляю за собой. </w:t>
      </w:r>
    </w:p>
    <w:p w:rsidR="00D31C7B" w:rsidRDefault="00D31C7B" w:rsidP="00D31C7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и подлежит размещению в сети Интернет на официальном сайте администрации Брагунского сельского поселения.</w:t>
      </w:r>
    </w:p>
    <w:p w:rsidR="00D31C7B" w:rsidRDefault="00D31C7B" w:rsidP="00D31C7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и.о.главы администрации                                                   А.Б.Алиева</w:t>
      </w:r>
    </w:p>
    <w:p w:rsidR="00D31C7B" w:rsidRDefault="00D31C7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A420B" w:rsidRDefault="003A420B" w:rsidP="006D13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F52F3E" w:rsidRDefault="00231666" w:rsidP="00231666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F3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231666" w:rsidRDefault="00231666" w:rsidP="00231666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F52F3E" w:rsidRDefault="00FB3482" w:rsidP="00FB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к 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231666" w:rsidRPr="00F52F3E" w:rsidRDefault="00FB3482" w:rsidP="00FB3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31666" w:rsidRDefault="00FB3482" w:rsidP="00FB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087E">
        <w:rPr>
          <w:rFonts w:ascii="Times New Roman" w:eastAsia="Times New Roman" w:hAnsi="Times New Roman"/>
          <w:sz w:val="28"/>
          <w:szCs w:val="28"/>
          <w:lang w:eastAsia="ru-RU"/>
        </w:rPr>
        <w:t>2016 г.</w:t>
      </w:r>
      <w:r w:rsidR="00B90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8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059E"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</w:p>
    <w:p w:rsidR="00231666" w:rsidRDefault="00231666" w:rsidP="00231666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Брагунского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Гудермесского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Чеченской Республики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2016- 203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231666" w:rsidRPr="00231666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12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Паспорт</w:t>
      </w:r>
    </w:p>
    <w:p w:rsid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Программы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Чеченской Республики </w:t>
      </w: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2016- 2031 годы</w:t>
      </w:r>
    </w:p>
    <w:tbl>
      <w:tblPr>
        <w:tblW w:w="9935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05"/>
        <w:gridCol w:w="7530"/>
      </w:tblGrid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Программа комплексного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Гудермесского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 Чеченской Республики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2016- 2031 годы(далее - Программа)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Градостроительный кодекс Российской Федерации от 29 декабря 2004 года №190-ФЗ;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1 октября 2015 года № 1050 «Об утверждении требований к программам комплексного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поселений, городских округов»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EA463B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="00B9059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366904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Чеченская Республика, 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удермесский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район, </w:t>
            </w:r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с.Брагуны, ул.Кадырова 28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EA463B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="00B9059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366904</w:t>
            </w:r>
            <w:r w:rsidR="003A420B"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="003A42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Чеченская Республика, 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Гудермесский </w:t>
            </w:r>
            <w:r w:rsidR="003A42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район, </w:t>
            </w:r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с.Брагуны, ул.Кадырова 28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Цель: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 xml:space="preserve">Обеспечение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инфраструктуры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 поселения  для закрепления населения, повышения уровня его жизни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Задачи: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жилого фонда, жилищно-коммунального хозяйства, мест массового отдыха и рекреации;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развитие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Брагунском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сельском поселении.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обеспеченности населения объектами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Целевыми показателями (индикаторами) обеспеченности населения объектами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инфраструктуры, станут: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показатели ежегодного сокращения миграционного оттока населения;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качества услуг, предоставляемых учреждениями культуры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:rsidR="00231666" w:rsidRPr="00231666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создание условий для занятий спортом;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организация централизованной системы водоснабжения, газоснабжения;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развитие транспортной инфраструктуры.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 Проектирование и строительство общеобразовательной школы.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2. Проектирование и строительство помещений для физкультурных занятий и тренировок;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3. Капитальный ремонт и ремонт автомобильных дорог местного значения;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4. Строительство и реконструкция объектов водоснабжения;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5. Строительство объектов газоснабжения.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 реализации Программы 2016-203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годы, в 2 этапа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 – с 2016 по 2020 годы</w:t>
            </w:r>
          </w:p>
          <w:p w:rsidR="00231666" w:rsidRPr="00231666" w:rsidRDefault="00231666" w:rsidP="00EA463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 – с 2021 по 203</w:t>
            </w:r>
            <w:r w:rsidR="00EA4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Объемы и источники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Прогнозный общий объем финансирования Программы на пе</w:t>
            </w:r>
            <w:r w:rsidR="004B08F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риод 2016-2031годов составляет 6</w:t>
            </w: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8 000,0 тыс. руб., в том </w:t>
            </w: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  0,0 тыс. рублей;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  4 000,0 тыс. рублей; </w:t>
            </w:r>
          </w:p>
          <w:p w:rsidR="00231666" w:rsidRPr="00E12B00" w:rsidRDefault="004B08F7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  5</w:t>
            </w:r>
            <w:r w:rsidR="00231666"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000,0 тыс.рублей; 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  16000,0 тыс.рублей;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  4 000,0 тыс.рублей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2021-2030 годы -    45 000,0 тыс.рублей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Финансирование входящих в Программу мероприятий осуществляется за счет средств Федерального бюджета, бюджета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Чеченской Республики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бюджета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Гудермесского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муниципального района, бюджета 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231666" w:rsidRPr="003B4D2F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B4D2F" w:rsidRPr="00D83E9F" w:rsidRDefault="003B4D2F" w:rsidP="003B4D2F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Основное содержание</w:t>
      </w:r>
      <w:r w:rsidR="00EA46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Социальное и экономическое положение 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9D2CBC">
        <w:rPr>
          <w:rFonts w:ascii="Times New Roman" w:eastAsia="Times New Roman" w:hAnsi="Times New Roman"/>
          <w:b/>
          <w:bCs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сельского поселения</w:t>
      </w:r>
    </w:p>
    <w:p w:rsidR="003B4D2F" w:rsidRPr="00D83E9F" w:rsidRDefault="003B4D2F" w:rsidP="003B4D2F">
      <w:p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1. Общая характеристика </w:t>
      </w:r>
      <w:r w:rsidR="009D2CBC">
        <w:rPr>
          <w:rFonts w:ascii="Times New Roman" w:eastAsia="Times New Roman" w:hAnsi="Times New Roman"/>
          <w:b/>
          <w:bCs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809B9" w:rsidRPr="0022480E" w:rsidRDefault="004809B9" w:rsidP="004809B9">
      <w:pPr>
        <w:pStyle w:val="ab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Село Брагуны образовано в </w:t>
      </w:r>
      <w:r w:rsidRPr="004809B9">
        <w:rPr>
          <w:sz w:val="28"/>
          <w:szCs w:val="28"/>
        </w:rPr>
        <w:t>1016</w:t>
      </w:r>
      <w:r w:rsidRPr="0022480E">
        <w:rPr>
          <w:sz w:val="28"/>
          <w:szCs w:val="28"/>
        </w:rPr>
        <w:t xml:space="preserve"> году. </w:t>
      </w:r>
      <w:r>
        <w:rPr>
          <w:color w:val="252525"/>
          <w:sz w:val="28"/>
          <w:szCs w:val="28"/>
        </w:rPr>
        <w:t>Село расположено в 8,4 км к северу</w:t>
      </w:r>
      <w:r w:rsidRPr="0022480E">
        <w:rPr>
          <w:color w:val="252525"/>
          <w:sz w:val="28"/>
          <w:szCs w:val="28"/>
        </w:rPr>
        <w:t xml:space="preserve"> от районного центра — станицы </w:t>
      </w:r>
      <w:hyperlink r:id="rId9" w:tooltip="Шелковская" w:history="1">
        <w:r>
          <w:rPr>
            <w:rStyle w:val="a7"/>
            <w:color w:val="0B0080"/>
            <w:sz w:val="28"/>
            <w:szCs w:val="28"/>
          </w:rPr>
          <w:t>Гудермесский</w:t>
        </w:r>
      </w:hyperlink>
      <w:r w:rsidRPr="0022480E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южнее </w:t>
      </w:r>
      <w:r w:rsidRPr="0022480E">
        <w:rPr>
          <w:color w:val="252525"/>
          <w:sz w:val="28"/>
          <w:szCs w:val="28"/>
        </w:rPr>
        <w:t>трассы</w:t>
      </w:r>
      <w:r w:rsidRPr="0022480E">
        <w:rPr>
          <w:rStyle w:val="apple-converted-space"/>
          <w:color w:val="252525"/>
          <w:sz w:val="28"/>
          <w:szCs w:val="28"/>
        </w:rPr>
        <w:t> </w:t>
      </w:r>
      <w:hyperlink r:id="rId10" w:tooltip="Кизляр" w:history="1">
        <w:r w:rsidRPr="0022480E">
          <w:rPr>
            <w:rStyle w:val="a7"/>
            <w:color w:val="0B0080"/>
            <w:sz w:val="28"/>
            <w:szCs w:val="28"/>
          </w:rPr>
          <w:t>Кизляр</w:t>
        </w:r>
      </w:hyperlink>
      <w:r w:rsidRPr="0022480E">
        <w:rPr>
          <w:color w:val="252525"/>
          <w:sz w:val="28"/>
          <w:szCs w:val="28"/>
        </w:rPr>
        <w:t>—</w:t>
      </w:r>
      <w:hyperlink r:id="rId11" w:tooltip="Грозный" w:history="1">
        <w:r w:rsidRPr="0022480E">
          <w:rPr>
            <w:rStyle w:val="a7"/>
            <w:color w:val="0B0080"/>
            <w:sz w:val="28"/>
            <w:szCs w:val="28"/>
          </w:rPr>
          <w:t>Грозный</w:t>
        </w:r>
      </w:hyperlink>
      <w:r w:rsidRPr="0022480E">
        <w:rPr>
          <w:color w:val="252525"/>
          <w:sz w:val="28"/>
          <w:szCs w:val="28"/>
        </w:rPr>
        <w:t>, также южнее села проходит железнодорожная линия</w:t>
      </w:r>
      <w:r w:rsidRPr="0022480E">
        <w:rPr>
          <w:rStyle w:val="apple-converted-space"/>
          <w:color w:val="252525"/>
          <w:sz w:val="28"/>
          <w:szCs w:val="28"/>
        </w:rPr>
        <w:t> </w:t>
      </w:r>
      <w:hyperlink r:id="rId12" w:tooltip="Северо-Кавказская железная дорога" w:history="1">
        <w:r w:rsidRPr="0022480E">
          <w:rPr>
            <w:rStyle w:val="a7"/>
            <w:color w:val="0B0080"/>
            <w:sz w:val="28"/>
            <w:szCs w:val="28"/>
          </w:rPr>
          <w:t>Северо-Кавказской железной дороги</w:t>
        </w:r>
      </w:hyperlink>
      <w:r w:rsidRPr="0022480E">
        <w:rPr>
          <w:color w:val="252525"/>
          <w:sz w:val="28"/>
          <w:szCs w:val="28"/>
        </w:rPr>
        <w:t>. Ближай</w:t>
      </w:r>
      <w:r>
        <w:rPr>
          <w:color w:val="252525"/>
          <w:sz w:val="28"/>
          <w:szCs w:val="28"/>
        </w:rPr>
        <w:t>шие населённые пункты: на востоке</w:t>
      </w:r>
      <w:r w:rsidRPr="0022480E">
        <w:rPr>
          <w:color w:val="252525"/>
          <w:sz w:val="28"/>
          <w:szCs w:val="28"/>
        </w:rPr>
        <w:t> — сел</w:t>
      </w:r>
      <w:r>
        <w:rPr>
          <w:color w:val="252525"/>
          <w:sz w:val="28"/>
          <w:szCs w:val="28"/>
        </w:rPr>
        <w:t>а Хангиш-юрт и Комсомольское</w:t>
      </w:r>
      <w:r w:rsidRPr="0022480E">
        <w:rPr>
          <w:color w:val="252525"/>
          <w:sz w:val="28"/>
          <w:szCs w:val="28"/>
        </w:rPr>
        <w:t xml:space="preserve">, на </w:t>
      </w:r>
      <w:r>
        <w:rPr>
          <w:color w:val="252525"/>
          <w:sz w:val="28"/>
          <w:szCs w:val="28"/>
        </w:rPr>
        <w:t>юге</w:t>
      </w:r>
      <w:r w:rsidRPr="0022480E">
        <w:rPr>
          <w:color w:val="252525"/>
          <w:sz w:val="28"/>
          <w:szCs w:val="28"/>
        </w:rPr>
        <w:t xml:space="preserve"> — </w:t>
      </w:r>
      <w:r>
        <w:rPr>
          <w:color w:val="252525"/>
          <w:sz w:val="28"/>
          <w:szCs w:val="28"/>
        </w:rPr>
        <w:t xml:space="preserve">западе </w:t>
      </w:r>
      <w:r w:rsidRPr="0022480E">
        <w:rPr>
          <w:color w:val="252525"/>
          <w:sz w:val="28"/>
          <w:szCs w:val="28"/>
        </w:rPr>
        <w:t>станица</w:t>
      </w:r>
      <w:r w:rsidRPr="0022480E">
        <w:rPr>
          <w:rStyle w:val="apple-converted-space"/>
          <w:color w:val="252525"/>
          <w:sz w:val="28"/>
          <w:szCs w:val="28"/>
        </w:rPr>
        <w:t> </w:t>
      </w:r>
      <w:hyperlink r:id="rId13" w:tooltip="Шелковская" w:history="1">
        <w:r>
          <w:rPr>
            <w:rStyle w:val="a7"/>
            <w:color w:val="0B0080"/>
            <w:sz w:val="28"/>
            <w:szCs w:val="28"/>
          </w:rPr>
          <w:t>с.Дарбанхи</w:t>
        </w:r>
      </w:hyperlink>
      <w:r>
        <w:rPr>
          <w:color w:val="252525"/>
          <w:sz w:val="28"/>
          <w:szCs w:val="28"/>
        </w:rPr>
        <w:t>, к северу</w:t>
      </w:r>
      <w:r w:rsidRPr="0022480E">
        <w:rPr>
          <w:color w:val="252525"/>
          <w:sz w:val="28"/>
          <w:szCs w:val="28"/>
        </w:rPr>
        <w:t xml:space="preserve"> — станица </w:t>
      </w:r>
      <w:hyperlink r:id="rId14" w:tooltip="Шелкозаводская" w:history="1">
        <w:r w:rsidRPr="0022480E">
          <w:rPr>
            <w:rStyle w:val="a7"/>
            <w:color w:val="0B0080"/>
            <w:sz w:val="28"/>
            <w:szCs w:val="28"/>
          </w:rPr>
          <w:t>Шелко</w:t>
        </w:r>
        <w:r>
          <w:rPr>
            <w:rStyle w:val="a7"/>
            <w:color w:val="0B0080"/>
            <w:sz w:val="28"/>
            <w:szCs w:val="28"/>
          </w:rPr>
          <w:t>вская</w:t>
        </w:r>
      </w:hyperlink>
      <w:r w:rsidRPr="0022480E">
        <w:rPr>
          <w:rStyle w:val="apple-converted-space"/>
          <w:color w:val="252525"/>
          <w:sz w:val="28"/>
          <w:szCs w:val="28"/>
        </w:rPr>
        <w:t> </w:t>
      </w:r>
      <w:r w:rsidRPr="0022480E">
        <w:rPr>
          <w:color w:val="252525"/>
          <w:sz w:val="28"/>
          <w:szCs w:val="28"/>
        </w:rPr>
        <w:t xml:space="preserve">, </w:t>
      </w:r>
      <w:hyperlink r:id="rId15" w:tooltip="Новощедринская" w:history="1">
        <w:r w:rsidRPr="0022480E">
          <w:rPr>
            <w:rStyle w:val="a7"/>
            <w:color w:val="0B0080"/>
            <w:sz w:val="28"/>
            <w:szCs w:val="28"/>
          </w:rPr>
          <w:t>Новощедринская</w:t>
        </w:r>
      </w:hyperlink>
      <w:r w:rsidRPr="0022480E">
        <w:rPr>
          <w:rStyle w:val="apple-converted-space"/>
          <w:color w:val="252525"/>
          <w:sz w:val="28"/>
          <w:szCs w:val="28"/>
        </w:rPr>
        <w:t> </w:t>
      </w:r>
      <w:r>
        <w:rPr>
          <w:rStyle w:val="apple-converted-space"/>
          <w:color w:val="252525"/>
          <w:sz w:val="28"/>
          <w:szCs w:val="28"/>
        </w:rPr>
        <w:t xml:space="preserve"> </w:t>
      </w:r>
      <w:r w:rsidRPr="0022480E">
        <w:rPr>
          <w:color w:val="252525"/>
          <w:sz w:val="28"/>
          <w:szCs w:val="28"/>
        </w:rPr>
        <w:t>и</w:t>
      </w:r>
      <w:r w:rsidRPr="0022480E">
        <w:rPr>
          <w:rStyle w:val="apple-converted-space"/>
          <w:color w:val="252525"/>
          <w:sz w:val="28"/>
          <w:szCs w:val="28"/>
        </w:rPr>
        <w:t> </w:t>
      </w:r>
      <w:hyperlink r:id="rId16" w:tooltip="Старощедринская" w:history="1">
        <w:r w:rsidRPr="0022480E">
          <w:rPr>
            <w:rStyle w:val="a7"/>
            <w:color w:val="0B0080"/>
            <w:sz w:val="28"/>
            <w:szCs w:val="28"/>
          </w:rPr>
          <w:t>Старощедринская</w:t>
        </w:r>
      </w:hyperlink>
      <w:r w:rsidRPr="0022480E">
        <w:rPr>
          <w:color w:val="252525"/>
          <w:sz w:val="28"/>
          <w:szCs w:val="28"/>
        </w:rPr>
        <w:t>.</w:t>
      </w:r>
    </w:p>
    <w:p w:rsidR="003B4D2F" w:rsidRPr="00D83E9F" w:rsidRDefault="003B4D2F" w:rsidP="003A420B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Трудовые ресурсы, уровень жизни населения</w:t>
      </w:r>
    </w:p>
    <w:p w:rsidR="005D7DB8" w:rsidRPr="005D7DB8" w:rsidRDefault="005D7DB8" w:rsidP="005D7D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DB8">
        <w:rPr>
          <w:rFonts w:ascii="Times New Roman" w:eastAsia="Times New Roman" w:hAnsi="Times New Roman"/>
          <w:b/>
          <w:sz w:val="28"/>
          <w:szCs w:val="28"/>
          <w:lang w:eastAsia="ru-RU"/>
        </w:rPr>
        <w:t>2.Наличие трудовых ресурсов и других категорий населения по состоянию на 01.01.2016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2492"/>
        <w:gridCol w:w="3191"/>
      </w:tblGrid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категорий</w:t>
            </w:r>
          </w:p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населения</w:t>
            </w:r>
          </w:p>
        </w:tc>
        <w:tc>
          <w:tcPr>
            <w:tcW w:w="2492" w:type="dxa"/>
          </w:tcPr>
          <w:p w:rsidR="004809B9" w:rsidRPr="005D7DB8" w:rsidRDefault="00FB3482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1.мужчин</w:t>
            </w:r>
          </w:p>
        </w:tc>
        <w:tc>
          <w:tcPr>
            <w:tcW w:w="2492" w:type="dxa"/>
          </w:tcPr>
          <w:p w:rsidR="004809B9" w:rsidRPr="00891B3F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4809B9" w:rsidRPr="003A420B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1.1.трудоспособных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1.2.работающих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2.женщин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Из них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2.1.трудоспособных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2.2.работающих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3.всего трудовых ресурсов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845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4.Пенсионеров 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Жилой фонд муниципального образования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 На 01.01.2016 г. составляет – </w:t>
      </w:r>
      <w:r>
        <w:rPr>
          <w:rFonts w:ascii="Times New Roman" w:eastAsia="Times New Roman" w:hAnsi="Times New Roman"/>
          <w:b/>
          <w:sz w:val="28"/>
          <w:szCs w:val="28"/>
        </w:rPr>
        <w:t>34300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кв.м., в т.ч.: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- в муниципальной собственности –  </w:t>
      </w:r>
      <w:r>
        <w:rPr>
          <w:rFonts w:ascii="Times New Roman" w:eastAsia="Times New Roman" w:hAnsi="Times New Roman"/>
          <w:b/>
          <w:sz w:val="28"/>
          <w:szCs w:val="28"/>
        </w:rPr>
        <w:t>500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>- в частной собственности –  33800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</w:t>
      </w:r>
    </w:p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Транспорт, связь, дорожное хозяйство</w:t>
      </w:r>
    </w:p>
    <w:p w:rsidR="004809B9" w:rsidRPr="00DB537E" w:rsidRDefault="004809B9" w:rsidP="004809B9">
      <w:pPr>
        <w:shd w:val="clear" w:color="auto" w:fill="FFFFFF"/>
        <w:tabs>
          <w:tab w:val="left" w:pos="709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 xml:space="preserve">                    Общая протяженность улично-дорожной сети в границах населенных пунктов  составляет  27 км.  </w:t>
      </w:r>
    </w:p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>Услуги связи (телефон и интернет) предоставляют: ОАО «Вайнахтелеком»</w:t>
      </w:r>
      <w:r>
        <w:rPr>
          <w:rFonts w:ascii="Times New Roman" w:eastAsia="Times New Roman" w:hAnsi="Times New Roman"/>
          <w:sz w:val="28"/>
          <w:szCs w:val="28"/>
        </w:rPr>
        <w:t>, ОАО «Мегафон», ОАО «Билайн»</w:t>
      </w:r>
    </w:p>
    <w:p w:rsidR="004809B9" w:rsidRPr="002E3B85" w:rsidRDefault="004809B9" w:rsidP="004809B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>Наличие мощностей инженерной инфраструктуры:</w:t>
      </w:r>
    </w:p>
    <w:p w:rsidR="004809B9" w:rsidRPr="002E3B85" w:rsidRDefault="004809B9" w:rsidP="004809B9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 xml:space="preserve">          Водопровод:</w:t>
      </w:r>
      <w:r w:rsidRPr="002E3B85">
        <w:rPr>
          <w:rFonts w:ascii="Times New Roman" w:eastAsia="Times New Roman" w:hAnsi="Times New Roman"/>
          <w:sz w:val="28"/>
          <w:szCs w:val="28"/>
        </w:rPr>
        <w:t xml:space="preserve"> протяженность сетей водопровода в </w:t>
      </w:r>
      <w:r>
        <w:rPr>
          <w:rFonts w:ascii="Times New Roman" w:eastAsia="Times New Roman" w:hAnsi="Times New Roman"/>
          <w:sz w:val="28"/>
          <w:szCs w:val="28"/>
        </w:rPr>
        <w:t>Брагунском</w:t>
      </w:r>
      <w:r w:rsidRPr="002E3B85">
        <w:rPr>
          <w:rFonts w:ascii="Times New Roman" w:eastAsia="Times New Roman" w:hAnsi="Times New Roman"/>
          <w:sz w:val="28"/>
          <w:szCs w:val="28"/>
        </w:rPr>
        <w:t xml:space="preserve"> сельском поселении – 19000 м.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</w:t>
      </w:r>
      <w:r w:rsidRPr="00DB537E">
        <w:rPr>
          <w:rFonts w:ascii="Times New Roman" w:eastAsia="Times New Roman" w:hAnsi="Times New Roman"/>
          <w:bCs/>
          <w:sz w:val="28"/>
          <w:szCs w:val="28"/>
        </w:rPr>
        <w:t>Водонапорные башни - </w:t>
      </w:r>
      <w:r w:rsidRPr="00DB537E">
        <w:rPr>
          <w:rFonts w:ascii="Times New Roman" w:eastAsia="Times New Roman" w:hAnsi="Times New Roman"/>
          <w:sz w:val="28"/>
          <w:szCs w:val="28"/>
        </w:rPr>
        <w:t>2 шт.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 xml:space="preserve">Обеспечение сельского населения центральным водоснабжением – </w:t>
      </w:r>
      <w:r>
        <w:rPr>
          <w:rFonts w:ascii="Times New Roman" w:eastAsia="Times New Roman" w:hAnsi="Times New Roman"/>
          <w:sz w:val="28"/>
          <w:szCs w:val="28"/>
        </w:rPr>
        <w:t>70</w:t>
      </w:r>
      <w:r w:rsidRPr="00DB537E">
        <w:rPr>
          <w:rFonts w:ascii="Times New Roman" w:eastAsia="Times New Roman" w:hAnsi="Times New Roman"/>
          <w:sz w:val="28"/>
          <w:szCs w:val="28"/>
        </w:rPr>
        <w:t>%</w:t>
      </w:r>
    </w:p>
    <w:p w:rsidR="004809B9" w:rsidRPr="002E3B85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Газопроводы</w:t>
      </w:r>
      <w:r w:rsidRPr="002E3B85">
        <w:rPr>
          <w:rFonts w:ascii="Times New Roman" w:eastAsia="Times New Roman" w:hAnsi="Times New Roman"/>
          <w:sz w:val="28"/>
          <w:szCs w:val="28"/>
        </w:rPr>
        <w:t>: протяженность 29000м.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>Обеспечен</w:t>
      </w:r>
      <w:r>
        <w:rPr>
          <w:rFonts w:ascii="Times New Roman" w:eastAsia="Times New Roman" w:hAnsi="Times New Roman"/>
          <w:sz w:val="28"/>
          <w:szCs w:val="28"/>
        </w:rPr>
        <w:t>ность населения сетевым газом 96</w:t>
      </w:r>
      <w:r w:rsidRPr="00DB537E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3B4D2F" w:rsidRPr="003B4D2F" w:rsidRDefault="003B4D2F" w:rsidP="005D7DB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12588" w:rsidRPr="00D83E9F" w:rsidRDefault="00412588" w:rsidP="00412588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Бюджет поселения.</w:t>
      </w:r>
    </w:p>
    <w:p w:rsidR="00412588" w:rsidRPr="003A420B" w:rsidRDefault="004809B9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Брагунское </w:t>
      </w:r>
      <w:r w:rsidR="00412588" w:rsidRPr="003A420B">
        <w:rPr>
          <w:rFonts w:ascii="Times New Roman" w:eastAsia="Times New Roman" w:hAnsi="Times New Roman"/>
          <w:sz w:val="28"/>
          <w:szCs w:val="28"/>
        </w:rPr>
        <w:t>сельское поселение на самостоятельном бюджете с 1 января 2006 года, в соответствии с ФЗ № 131 от 06.10.2003г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Работа по увеличению доходов бюджета </w:t>
      </w:r>
      <w:r w:rsidR="009D2CBC">
        <w:rPr>
          <w:rFonts w:ascii="Times New Roman" w:eastAsia="Times New Roman" w:hAnsi="Times New Roman"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осуществляется по следующим направлениям: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привлечение инвесторов на территорию сельского поселения;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постановка на учет новых налогоплательщиков в налоговых органах;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снижение задолженности организаций и физических лиц по платежам в бюджеты всех уровней;</w:t>
      </w:r>
    </w:p>
    <w:p w:rsidR="00231666" w:rsidRPr="00D83E9F" w:rsidRDefault="00412588" w:rsidP="005D7DB8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Основной задачей бюджета на 201</w:t>
      </w:r>
      <w:r w:rsidR="002F2B3D">
        <w:rPr>
          <w:rFonts w:ascii="Times New Roman" w:eastAsia="Times New Roman" w:hAnsi="Times New Roman"/>
          <w:sz w:val="28"/>
          <w:szCs w:val="28"/>
        </w:rPr>
        <w:t>5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– 20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>3</w:t>
      </w:r>
      <w:r w:rsidR="002F2B3D">
        <w:rPr>
          <w:rFonts w:ascii="Times New Roman" w:eastAsia="Times New Roman" w:hAnsi="Times New Roman"/>
          <w:sz w:val="28"/>
          <w:szCs w:val="28"/>
        </w:rPr>
        <w:t>2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3E9F">
        <w:rPr>
          <w:rFonts w:ascii="Times New Roman" w:eastAsia="Times New Roman" w:hAnsi="Times New Roman"/>
          <w:sz w:val="28"/>
          <w:szCs w:val="28"/>
        </w:rPr>
        <w:t>г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>.</w:t>
      </w:r>
      <w:r w:rsidRPr="00D83E9F">
        <w:rPr>
          <w:rFonts w:ascii="Times New Roman" w:eastAsia="Times New Roman" w:hAnsi="Times New Roman"/>
          <w:sz w:val="28"/>
          <w:szCs w:val="28"/>
        </w:rPr>
        <w:t>г</w:t>
      </w:r>
      <w:r w:rsidR="00D83E9F">
        <w:rPr>
          <w:rFonts w:ascii="Times New Roman" w:eastAsia="Times New Roman" w:hAnsi="Times New Roman"/>
          <w:sz w:val="28"/>
          <w:szCs w:val="28"/>
        </w:rPr>
        <w:t>.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является концентрация бюджетных ресурсов на важнейших направлениях социально-экономического развития поселения.</w:t>
      </w:r>
    </w:p>
    <w:p w:rsidR="00231666" w:rsidRPr="00231666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</w:t>
      </w:r>
      <w:r w:rsidR="005D7DB8">
        <w:rPr>
          <w:rFonts w:ascii="Times New Roman" w:eastAsia="Times New Roman" w:hAnsi="Times New Roman"/>
          <w:sz w:val="28"/>
          <w:szCs w:val="28"/>
          <w:lang w:eastAsia="ru-RU"/>
        </w:rPr>
        <w:t>й в экономику сельского поселения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31666" w:rsidRPr="00231666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Природные ресурсы – значимый фактор для привлечения инве</w:t>
      </w:r>
      <w:r w:rsidR="005D7DB8">
        <w:rPr>
          <w:rFonts w:ascii="Times New Roman" w:eastAsia="Times New Roman" w:hAnsi="Times New Roman"/>
          <w:sz w:val="28"/>
          <w:szCs w:val="28"/>
          <w:lang w:eastAsia="ru-RU"/>
        </w:rPr>
        <w:t>сторов  сельское хозяйство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уровень развития сферы социально-культурного обслуживания в </w:t>
      </w:r>
      <w:r w:rsidR="004809B9">
        <w:rPr>
          <w:rFonts w:ascii="Times New Roman" w:eastAsia="Times New Roman" w:hAnsi="Times New Roman"/>
          <w:sz w:val="28"/>
          <w:szCs w:val="28"/>
          <w:lang w:eastAsia="ru-RU"/>
        </w:rPr>
        <w:t xml:space="preserve">Брагунском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</w:p>
    <w:p w:rsidR="00231666" w:rsidRPr="00891B3F" w:rsidRDefault="00231666" w:rsidP="00D83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</w:t>
      </w:r>
      <w:r w:rsidR="002775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 w:rsidR="002775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решением </w:t>
      </w:r>
      <w:r w:rsidR="002775D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E9F" w:rsidRPr="00891B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B3F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которому установлены и утверждены: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 территориальная организация и планировочная структура территории поселения;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 функциональное зонирование территории поселения;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 границы зон планируемого размещения объектов капитального строительства муниципального уровня.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генерального плана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231666" w:rsidRPr="002E3B85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2775DD" w:rsidRPr="002E3B8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правила землепользования и застройки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936281" w:rsidRPr="002E3B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666" w:rsidRPr="002E3B85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2E3B85"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тверждена программа комплексного развития систем коммунальной инфраструктуры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>на период с 201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700EA" w:rsidRPr="002E3B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00EA" w:rsidRPr="002E3B85" w:rsidRDefault="00231666" w:rsidP="0023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B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2F2B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2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утверждены схемы водоснабжения и водоотведения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2E3B85">
        <w:rPr>
          <w:rFonts w:ascii="Times New Roman" w:hAnsi="Times New Roman"/>
          <w:sz w:val="28"/>
          <w:szCs w:val="28"/>
          <w:lang w:eastAsia="ru-RU"/>
        </w:rPr>
        <w:t>;</w:t>
      </w:r>
    </w:p>
    <w:p w:rsidR="00231666" w:rsidRPr="002E3B85" w:rsidRDefault="009700EA" w:rsidP="0023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B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2F2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 утверждены схемы теплоснабжения;</w:t>
      </w:r>
    </w:p>
    <w:p w:rsidR="00D83E9F" w:rsidRPr="002E3B85" w:rsidRDefault="00D83E9F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Технико-экономические параметры существующих объектов </w:t>
      </w:r>
      <w:r w:rsidR="0075702B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инфраструктуры поселения, сложившийся уровень обеспеченности населения поселения услугами объектов </w:t>
      </w:r>
      <w:r w:rsidR="0075702B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инфраструктуры </w:t>
      </w:r>
    </w:p>
    <w:p w:rsidR="00231666" w:rsidRPr="00231666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9B9" w:rsidRDefault="00231666" w:rsidP="004809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Образование</w:t>
      </w:r>
      <w:r w:rsidRPr="0023166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>бразовательны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 учреждени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ем</w:t>
      </w:r>
      <w:r w:rsidR="00412F6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представлена</w:t>
      </w:r>
      <w:r w:rsidR="003A420B">
        <w:rPr>
          <w:rFonts w:ascii="Times New Roman" w:eastAsia="Arial Unicode MS" w:hAnsi="Times New Roman"/>
          <w:sz w:val="28"/>
          <w:szCs w:val="28"/>
          <w:lang w:eastAsia="ru-RU"/>
        </w:rPr>
        <w:t xml:space="preserve"> МБОУ «</w:t>
      </w:r>
      <w:r w:rsidR="004809B9">
        <w:rPr>
          <w:rFonts w:ascii="Times New Roman" w:eastAsia="Arial Unicode MS" w:hAnsi="Times New Roman"/>
          <w:sz w:val="28"/>
          <w:szCs w:val="28"/>
          <w:lang w:eastAsia="ru-RU"/>
        </w:rPr>
        <w:t>Брагунская СОШ»</w:t>
      </w:r>
      <w:r w:rsidR="004809B9"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, в которой в настоящее время обучается </w:t>
      </w:r>
      <w:r w:rsidR="004809B9">
        <w:rPr>
          <w:rFonts w:ascii="Times New Roman" w:eastAsia="Arial Unicode MS" w:hAnsi="Times New Roman"/>
          <w:sz w:val="28"/>
          <w:szCs w:val="28"/>
          <w:lang w:eastAsia="ru-RU"/>
        </w:rPr>
        <w:t>617</w:t>
      </w:r>
    </w:p>
    <w:p w:rsidR="00B82CE1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населения образовательным учреждением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соответствует минима</w:t>
      </w:r>
      <w:r w:rsidR="00B82CE1">
        <w:rPr>
          <w:rFonts w:ascii="Times New Roman" w:eastAsia="Times New Roman" w:hAnsi="Times New Roman"/>
          <w:sz w:val="28"/>
          <w:szCs w:val="28"/>
          <w:lang w:eastAsia="ru-RU"/>
        </w:rPr>
        <w:t>льным нормативам обеспеченности.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b/>
          <w:sz w:val="28"/>
          <w:szCs w:val="28"/>
        </w:rPr>
        <w:t>Здравоохранение.</w:t>
      </w:r>
      <w:r w:rsidR="00412F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работает </w:t>
      </w:r>
      <w:r w:rsidR="004144F7">
        <w:rPr>
          <w:rFonts w:ascii="Times New Roman" w:eastAsia="Times New Roman" w:hAnsi="Times New Roman"/>
          <w:sz w:val="28"/>
          <w:szCs w:val="28"/>
        </w:rPr>
        <w:t>фельдшерско-акушерский пункт.</w:t>
      </w:r>
    </w:p>
    <w:p w:rsidR="00231666" w:rsidRPr="003A420B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>Социальное обслуживание. В настоящее время на т</w:t>
      </w:r>
      <w:r w:rsidR="003A420B" w:rsidRPr="003A420B">
        <w:rPr>
          <w:rFonts w:ascii="Times New Roman" w:eastAsia="Times New Roman" w:hAnsi="Times New Roman"/>
          <w:sz w:val="28"/>
          <w:szCs w:val="28"/>
          <w:lang w:eastAsia="ar-SA"/>
        </w:rPr>
        <w:t>ерритории поселения работают один</w:t>
      </w: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работника социального обслуживания на дому граждан пожилого возраста и и</w:t>
      </w:r>
      <w:r w:rsidR="005C0995">
        <w:rPr>
          <w:rFonts w:ascii="Times New Roman" w:eastAsia="Times New Roman" w:hAnsi="Times New Roman"/>
          <w:sz w:val="28"/>
          <w:szCs w:val="28"/>
          <w:lang w:eastAsia="ar-SA"/>
        </w:rPr>
        <w:t>нвалидов, которые обслуживают 6</w:t>
      </w: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231666" w:rsidRPr="003A420B" w:rsidRDefault="0075702B" w:rsidP="00414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Спортивные и игровые объекты</w:t>
      </w:r>
      <w:r w:rsidR="00231666" w:rsidRPr="003A420B">
        <w:rPr>
          <w:rFonts w:ascii="Times New Roman" w:eastAsia="Times New Roman" w:hAnsi="Times New Roman"/>
          <w:sz w:val="28"/>
          <w:szCs w:val="28"/>
        </w:rPr>
        <w:t>.</w:t>
      </w:r>
    </w:p>
    <w:p w:rsidR="00231666" w:rsidRPr="003A420B" w:rsidRDefault="004144F7" w:rsidP="004144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sz w:val="28"/>
          <w:szCs w:val="28"/>
        </w:rPr>
        <w:t>Спортивная площадка при школах (средняя).</w:t>
      </w:r>
    </w:p>
    <w:p w:rsidR="00231666" w:rsidRPr="003A420B" w:rsidRDefault="00231666" w:rsidP="002316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sz w:val="28"/>
          <w:szCs w:val="28"/>
        </w:rPr>
        <w:lastRenderedPageBreak/>
        <w:t>Учреждения культуры и искусства. Учреждения культуры территории поселения представлены сельской библиотекой</w:t>
      </w:r>
      <w:r w:rsidR="002F2B3D">
        <w:rPr>
          <w:rFonts w:ascii="Times New Roman" w:eastAsia="Times New Roman" w:hAnsi="Times New Roman"/>
          <w:sz w:val="28"/>
          <w:szCs w:val="28"/>
        </w:rPr>
        <w:t>, которая расположено в здании администрации</w:t>
      </w:r>
      <w:r w:rsidRPr="003A420B">
        <w:rPr>
          <w:rFonts w:ascii="Times New Roman" w:eastAsia="Times New Roman" w:hAnsi="Times New Roman"/>
          <w:sz w:val="28"/>
          <w:szCs w:val="28"/>
        </w:rPr>
        <w:t>.</w:t>
      </w:r>
    </w:p>
    <w:p w:rsidR="00231666" w:rsidRPr="00231666" w:rsidRDefault="00231666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0B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нормативной частоты посещения населением, объекты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культурно-бытового обслуживания подразделяются на: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повседневн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пользования –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школы, магазины повседневного спроса;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периодического польз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>ования –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>торговли,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площадки;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эпизодического пользования – административные учреждения местного</w:t>
      </w:r>
      <w:r w:rsidR="00757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значения.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Важнейшей частью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</w:t>
      </w:r>
      <w:r w:rsidR="00B82C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809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Брагуны</w:t>
      </w:r>
      <w:r w:rsidR="00C05A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70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обеспечены центральным водопроводом, на 92% обеспечены центральным газопроводом.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1.3. Прогнозируемый спрос на услуги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</w:t>
      </w: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05A74" w:rsidRPr="00231666" w:rsidRDefault="00231666" w:rsidP="00C05A74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231666">
        <w:rPr>
          <w:rFonts w:ascii="Times New Roman" w:eastAsia="Arial Unicode MS" w:hAnsi="Times New Roman"/>
          <w:sz w:val="28"/>
          <w:szCs w:val="24"/>
          <w:lang w:eastAsia="ru-RU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</w:t>
      </w:r>
      <w:r w:rsidR="00C05A74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5 СНиП 2.07.01</w:t>
      </w:r>
      <w:r w:rsidR="00C05A74">
        <w:rPr>
          <w:rFonts w:ascii="Times New Roman" w:eastAsia="Arial Unicode MS" w:hAnsi="Times New Roman"/>
          <w:sz w:val="28"/>
          <w:szCs w:val="24"/>
          <w:lang w:eastAsia="ru-RU"/>
        </w:rPr>
        <w:t>-89* «Градостроительство. Плани</w:t>
      </w:r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ровка и застройка сельских поселений» составляет 12-35 чел/га.</w:t>
      </w:r>
    </w:p>
    <w:p w:rsidR="00231666" w:rsidRPr="00231666" w:rsidRDefault="00231666" w:rsidP="00231666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231666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</w:p>
    <w:p w:rsidR="00231666" w:rsidRPr="00231666" w:rsidRDefault="00231666" w:rsidP="00231666">
      <w:pPr>
        <w:tabs>
          <w:tab w:val="left" w:pos="2268"/>
        </w:tabs>
        <w:autoSpaceDE w:val="0"/>
        <w:autoSpaceDN w:val="0"/>
        <w:adjustRightInd w:val="0"/>
        <w:spacing w:before="178" w:after="0" w:line="240" w:lineRule="auto"/>
        <w:ind w:firstLine="5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Выбор предельных параметров градостроительного развития поселения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определялся по результатам оценки вариантов развития на 203</w:t>
      </w:r>
      <w:r w:rsidR="00562E27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год. Все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варианты базировались на одной социально - экономической гипотезе,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соответствующей сценарию комплексного развития Стратегии, связанному с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наибольшим масштабом градостроительных преобразований.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ориентирована на компромис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с, предусматривающий сохранение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застроенных территорий, при освоении новых территорий, при этом около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100% жилищного строительства на новых территориях составляют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индивидуальные жилые дома. В градостроительном аспекте варианты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соотношения долей нового строительства и долей индивидуального жилья в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общем объеме жилищного строительства.</w:t>
      </w:r>
    </w:p>
    <w:p w:rsidR="00D83E9F" w:rsidRDefault="00231666" w:rsidP="00D83E9F">
      <w:pPr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bookmarkStart w:id="1" w:name="_Toc262635716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Проблема демографической ситуации носит общероссийский характер,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степень остроты ее в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публике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значительно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меньшая в сравнении с другими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регионами страны. Надежды на решение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демографических проблем мерами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стимулированию рождаемости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недостаточны, даже не смотря на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принимаемые в последнее время мероприят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ия (предоставление материнского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капитала и пр.). В настоящее время в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республике принимаются активные шаги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по улучшению основных показат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елей воспроизводства населения,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оптимизации его половой и возрастной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структуры, улучшения состояния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здоровья, роста продолжительности жизни. Схемой территориального</w:t>
      </w:r>
      <w:r w:rsidR="00562E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плани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рования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предусматривается необходимость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дальнейшей разработки, и реализации комплекса мер, направленных на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улучшение демографической ситуации в регионе. Необходимо проведение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продуманной федеральной и региональной демографической 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миграционной политики, направленной на преломление общероссийской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тенденции депопуляции населения. «Стратегия социально-экономическог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br/>
        <w:t>развития 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 2025 года» ставит целью преодолеть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разрыв между смертностью и рождаемостью на 14, 3 чел. на 1000 чел.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231666" w:rsidRPr="00231666" w:rsidRDefault="00231666" w:rsidP="00D83E9F">
      <w:pPr>
        <w:tabs>
          <w:tab w:val="left" w:pos="709"/>
        </w:tabs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Стабилизация численности населения будет достигнута как за счет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улучшения демографической ситуации (в рамках проводимой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демографической политики на федеральном и региональном уровнях) так 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за счет проведения Администрацией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эффективной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миграционной политики.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Демографический ресурс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можно охарактеризовать как стабильный. 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Численность постоянного населения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постоянно увеличивается в результате действия следующих факторов: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высокого уровня рождаемости; 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низкого уровня смертности;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значительного уровня миграции населения;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значительное преобладание людей среднего возраста, детей, подростков и молодежи над пенсионерами;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возвращение части населения "на родину" из городов (деурбанистическая миграция).  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Для дальнейшего удержания стабильности улучшения демографическо</w:t>
      </w:r>
      <w:r w:rsidR="00B82C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й ситуации в </w:t>
      </w:r>
      <w:r w:rsidR="004809B9">
        <w:rPr>
          <w:rFonts w:ascii="Times New Roman" w:eastAsia="Times New Roman" w:hAnsi="Times New Roman"/>
          <w:color w:val="000000"/>
          <w:sz w:val="28"/>
          <w:lang w:eastAsia="ru-RU"/>
        </w:rPr>
        <w:t>Брагунском</w:t>
      </w:r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сельском поселении рекомендуется реализовать следующие программы: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экономической поддержки много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укладного сельскохозяйственного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производства;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снижения бюрократического давления на производителей сельскохозяйственной продукции и создания юридических преимуществ для деятельного населения;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создания условий для снижения односторонней индустриальной миграции населения из </w:t>
      </w:r>
      <w:r w:rsidR="00B82CE1">
        <w:rPr>
          <w:rFonts w:ascii="Times New Roman" w:eastAsia="Times New Roman" w:hAnsi="Times New Roman"/>
          <w:color w:val="000000"/>
          <w:sz w:val="28"/>
          <w:lang w:eastAsia="ru-RU"/>
        </w:rPr>
        <w:t>села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город, за счет административной поддержки предпринимательства и бизнеса в образовании новых рабочих мест в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сельском поселении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повышения качества жизни в сельской местности за счет развития инженерно-транспортных коммуникаций;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возвращен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ия неиспользуемых земель сельскохозяйственного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назначения в сельскохозяйственный цикл;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популяризации сельского образа жизни среди населения;</w:t>
      </w:r>
    </w:p>
    <w:p w:rsidR="00F41BED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создания условий для деурбанистической миграции (переезда части горо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дских работников села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) за счет создания качественных систем телекоммуникаций.</w:t>
      </w:r>
    </w:p>
    <w:p w:rsidR="00231666" w:rsidRPr="00231666" w:rsidRDefault="00231666" w:rsidP="00F41BE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Для расчета численности населения (демографической ёмкости) в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пределах населенных пунктов:</w:t>
      </w:r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устанавливается предел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ьная (максимальная) численность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размещаемого в населенном пункте на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селения, соответствующая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укрупненному показателю (не более 40 га./ЮОО человек);</w:t>
      </w:r>
    </w:p>
    <w:p w:rsidR="00231666" w:rsidRPr="00D83E9F" w:rsidRDefault="00231666" w:rsidP="00D83E9F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устанавливаются показатели использования территории, числен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ности и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br/>
        <w:t>плотности населения на территории каждого населенного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пункта,</w:t>
      </w:r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сохраняющего таким образом исторический уклад жизни и ведения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хозяйства населением;</w:t>
      </w:r>
    </w:p>
    <w:p w:rsidR="00231666" w:rsidRPr="00231666" w:rsidRDefault="00231666" w:rsidP="0023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определяется потребность в территории и места размещения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инвестиционных проектов и объектов инфраструктуры;</w:t>
      </w:r>
    </w:p>
    <w:p w:rsidR="00231666" w:rsidRPr="00231666" w:rsidRDefault="00231666" w:rsidP="0023166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исходя из нормируемой расчетной плотности населения в кварталах с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низкой ценностью селитебных территорий (в пределах 14 - 220 чел./га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зависимости от типа жилой застройки) и размера предполагаемых жилых зон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населенного пункта определяется нормативная численность населения на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дополнительно осваиваемых (застраиваемых) территориях населенного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пункта.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2" w:name="_Toc315340238"/>
      <w:r w:rsidRPr="0050101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5. Предложения по развитию жилого фонда сельского поселения</w:t>
      </w:r>
      <w:bookmarkEnd w:id="2"/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Состояние жилого фонда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можно оценить как удовлетворительное. 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Жилой фонд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характеризуется следующими параметрами: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основу жилого фонда составляют индивидуальные жилые дома;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обеспечение жилого фонда коммуникациями и инженерными сетями неравномерное. Весь населенный пункт электрифицирован и не испытывает больших проблем с газоснабжением. Однако, системы водоотведения, водоснабжение и вывоза ТБО развиты слабо;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обеспеченность населения жилой площадью неудовлетворительная. В большей части населенных пунктов не соблюдается минимальная норма проживания в 18 кв.м на одного человека.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left="-1260"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Положения по развитию жилого фонда</w:t>
      </w:r>
      <w:r w:rsidR="00562E27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 w:rsidR="009D2CB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Брагунского</w:t>
      </w:r>
      <w:r w:rsidR="00D83E9F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сельского поселения</w:t>
      </w:r>
    </w:p>
    <w:p w:rsidR="0050101C" w:rsidRDefault="00D83E9F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>Р</w:t>
      </w:r>
      <w:r w:rsidR="0050101C"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азвитие жилого фонда поселения должно происходить в соответствии с градостроительными нормами и правилами землепользования и застройки.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В населенных пунктах, располагающихся в историко-культурных зонах, недопустима бессистемная застройка домами, архитектурный стиль которых не согласуется с исторически сложившимся стилем населенного пункта;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стимулировать строительство можно не только за счет кредитов и государственных субсидий, но и за счет упрощения механизмов получения земли под жилищное строительство при наличии проектов и внятных сроков застройки;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 поселении необходимо разработать механизмы и программы эффективного строительства социального жилья и строительства (капитального ремонта, реконструкции) объектов </w:t>
      </w:r>
      <w:r w:rsidR="0075702B">
        <w:rPr>
          <w:rFonts w:ascii="Times New Roman" w:eastAsia="Times New Roman" w:hAnsi="Times New Roman"/>
          <w:bCs/>
          <w:color w:val="000000"/>
          <w:sz w:val="28"/>
          <w:lang w:eastAsia="ru-RU"/>
        </w:rPr>
        <w:t>коммунальной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инфраструктуры на базе частно-государственного партнерства и с привлечением местных трудовых ресурсов;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при согласовании проектов по размещению производительных сил на территории поселения (производственные объекты, базы отдыха, пр.) необходимо ввести практику обязательного заключения инвестором с администрацией поселения соглашения о сотрудничестве, предполагающем развитие инфраструктуры поселения и привлечение на введенный в эксплуатацию объект местной рабочей силы с уровнем заработной платы не ниже оговоренного в соглашении;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необходимо учитывать, что любые инвестиционные процессы на территории поселения возможны лишь при активной поддержке и внятной позиции администрации поселения</w:t>
      </w:r>
      <w:r w:rsidR="00D83E9F">
        <w:rPr>
          <w:rFonts w:ascii="Times New Roman" w:eastAsia="Times New Roman" w:hAnsi="Times New Roman"/>
          <w:bCs/>
          <w:color w:val="000000"/>
          <w:sz w:val="28"/>
          <w:lang w:eastAsia="ru-RU"/>
        </w:rPr>
        <w:t>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50101C" w:rsidRPr="0050101C" w:rsidRDefault="0050101C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резервирование территории для дальнейшего развития как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на территориях, 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примыкающих к существующей застройке, так и на новых резервных территориях при соответствующих градостроительных обоснованиях;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проведение реконструкции жилищного фонда путем ликвидации аварийного и ветхого жилья; обеспечения инженерного обустройства площадок под строительство жилых домов и др.;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повышение надежности функционирования инженерной инфраструктуры: систем водоснабжения и канализации, энергоснабжения и инженерной подготовки территории, систем очистки и благоустройства, реконструкция и строительство очистных сооружений, а также инженерных сетей водопровода и канализации;</w:t>
      </w:r>
    </w:p>
    <w:p w:rsid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сохранение индивидуальности застройки, с одновременной увязкой с изменившимися общественными условия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ми и современными потребностями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размещением современных оздоровительных центров, центров торговли, культуры, спорта, здоровья и туризма, деловой инфраструктуры, что будет 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 xml:space="preserve">способствовать закреплению населения в 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сельское поселение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, в первую очередь молодежи;</w:t>
      </w:r>
    </w:p>
    <w:p w:rsidR="0050101C" w:rsidRPr="0050101C" w:rsidRDefault="0050101C" w:rsidP="003A7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подготовк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а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сельского поселения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.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Перечень мероприятий по территориальному планированию и этапы их реализации по разделу объектов жилой инфраструктуры </w:t>
      </w:r>
      <w:r w:rsidR="009D2CB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сельского поселения</w:t>
      </w:r>
    </w:p>
    <w:p w:rsidR="004C49B9" w:rsidRPr="0050101C" w:rsidRDefault="004C49B9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tbl>
      <w:tblPr>
        <w:tblW w:w="9151" w:type="dxa"/>
        <w:jc w:val="center"/>
        <w:tblInd w:w="-580" w:type="dxa"/>
        <w:tblLayout w:type="fixed"/>
        <w:tblLook w:val="0000"/>
      </w:tblPr>
      <w:tblGrid>
        <w:gridCol w:w="891"/>
        <w:gridCol w:w="3769"/>
        <w:gridCol w:w="1437"/>
        <w:gridCol w:w="3054"/>
      </w:tblGrid>
      <w:tr w:rsidR="0050101C" w:rsidRPr="0050101C" w:rsidTr="004C49B9">
        <w:trPr>
          <w:trHeight w:val="52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Комплексное освоение земельных участков для жилищного строительства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4C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Площадь, га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0101C" w:rsidRPr="0050101C" w:rsidTr="004C49B9">
        <w:trPr>
          <w:trHeight w:val="248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101C" w:rsidRPr="0050101C" w:rsidTr="004C49B9">
        <w:trPr>
          <w:trHeight w:val="27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01C" w:rsidRPr="004C49B9" w:rsidRDefault="00B82CE1" w:rsidP="00C0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</w:t>
            </w:r>
            <w:r w:rsidR="00412F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A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Брагуны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2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C" w:rsidRPr="004C49B9" w:rsidRDefault="0050101C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Инвесторы (застройщики)</w:t>
            </w:r>
          </w:p>
        </w:tc>
      </w:tr>
    </w:tbl>
    <w:p w:rsidR="00231666" w:rsidRPr="00231666" w:rsidRDefault="00231666" w:rsidP="003A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231666" w:rsidRPr="00231666" w:rsidRDefault="00231666" w:rsidP="003A7A38">
      <w:pPr>
        <w:autoSpaceDE w:val="0"/>
        <w:autoSpaceDN w:val="0"/>
        <w:adjustRightInd w:val="0"/>
        <w:spacing w:before="221"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В соответствии с численностью населения устанавливаются и иные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параметры развития населенных пунктов поселения на расчетный период.</w:t>
      </w:r>
    </w:p>
    <w:bookmarkEnd w:id="1"/>
    <w:p w:rsidR="00231666" w:rsidRPr="00231666" w:rsidRDefault="00231666" w:rsidP="003A7A3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CE1" w:rsidRDefault="00B82CE1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31666" w:rsidRPr="003A7A38" w:rsidRDefault="00231666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1. </w:t>
      </w:r>
      <w:r w:rsidRPr="003A7A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Параметры развития </w:t>
      </w:r>
      <w:r w:rsidR="00B82C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</w:t>
      </w:r>
      <w:r w:rsidR="00C05A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Брагуны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406"/>
        <w:gridCol w:w="1214"/>
        <w:gridCol w:w="1479"/>
        <w:gridCol w:w="1276"/>
        <w:gridCol w:w="1701"/>
        <w:gridCol w:w="1701"/>
      </w:tblGrid>
      <w:tr w:rsidR="00231666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3A7A38" w:rsidTr="003A7A38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B82CE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82C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га.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населения,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ельная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площадь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жилых</w:t>
            </w:r>
          </w:p>
          <w:p w:rsid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населен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пункта,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нность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жилой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площадью, кв.м.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3A7A38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Укрупненн</w:t>
            </w:r>
            <w:r w:rsidR="00231666"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размеров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 зон,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га./1000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Существующий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3A7A38" w:rsidRDefault="00B82CE1" w:rsidP="003A7A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82C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630B6C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30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30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FB11DC" w:rsidRDefault="003A7A38" w:rsidP="00FB11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B11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246,6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231666" w:rsidRPr="00231666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Среди аспектов инфраструктурного развития поселения, оказывающим наибольшее влияние на градообразующую базу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целом выделяются: обеспеченность основными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ресурсами градостроительного развития (инвестиции, территория, трудовые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и инженерно - энергетические ресурсы), перспективы поставок сырья,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>ситуация с доступностью рынков сбыта. В будущем источники территориального развития поселка обусловлены:</w:t>
      </w:r>
    </w:p>
    <w:p w:rsidR="00231666" w:rsidRPr="00231666" w:rsidRDefault="00231666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ростом производства сельскохоз</w:t>
      </w:r>
      <w:r w:rsidR="003A7A38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яйственной продукции, ведущим к 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увеличению соответствующих экологически чистых перерабатывающих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производственных объектов;</w:t>
      </w:r>
    </w:p>
    <w:p w:rsidR="00231666" w:rsidRPr="00231666" w:rsidRDefault="00231666" w:rsidP="0023166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возрастанием жилищного строительства в поселении,</w:t>
      </w:r>
    </w:p>
    <w:p w:rsidR="00231666" w:rsidRPr="00231666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размещение придорожных сервисных объектов в непосредственном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приближении к региональным автомобильным дорогам и центрам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населенных пунктов;</w:t>
      </w:r>
    </w:p>
    <w:p w:rsidR="00231666" w:rsidRPr="00231666" w:rsidRDefault="003A7A38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системой общественных центров поселения - местных общественно-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деловых центров путем выделения нескольких фрагментов территории под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размещение торговых, деловых, других коммерческих учреждений вдоль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основных планировочных осей и на пересечениях улиц;</w:t>
      </w:r>
    </w:p>
    <w:p w:rsidR="00231666" w:rsidRPr="00231666" w:rsidRDefault="00231666" w:rsidP="00231666">
      <w:pPr>
        <w:tabs>
          <w:tab w:val="left" w:pos="864"/>
        </w:tabs>
        <w:autoSpaceDE w:val="0"/>
        <w:autoSpaceDN w:val="0"/>
        <w:adjustRightInd w:val="0"/>
        <w:spacing w:before="5"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сохранением жилого фонда (охраняя конституционные права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граждан), новым жилищным строительством на свободных территориях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основном за счет индивидуальной жилой застройки;</w:t>
      </w:r>
    </w:p>
    <w:p w:rsidR="00231666" w:rsidRPr="00231666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сохранением территории действующих кладбищ, закреплением их в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новых границах;</w:t>
      </w:r>
    </w:p>
    <w:p w:rsidR="00231666" w:rsidRPr="004C49B9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необходимостью сформировать непрерывную систему озелененных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территорий в определенном территориально-градостроительном виде,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представляющая собой совокупность ландшафтных объектов, территорий и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зон отдыха.</w:t>
      </w:r>
    </w:p>
    <w:p w:rsidR="00231666" w:rsidRPr="004C49B9" w:rsidRDefault="00231666" w:rsidP="00231666">
      <w:pPr>
        <w:autoSpaceDE w:val="0"/>
        <w:autoSpaceDN w:val="0"/>
        <w:adjustRightInd w:val="0"/>
        <w:spacing w:before="216" w:after="0" w:line="240" w:lineRule="auto"/>
        <w:ind w:left="237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C49B9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2.</w:t>
      </w:r>
      <w:r w:rsidRPr="004C49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Динамика жилищного фонда</w:t>
      </w:r>
    </w:p>
    <w:p w:rsidR="00231666" w:rsidRPr="004C49B9" w:rsidRDefault="00231666" w:rsidP="00231666">
      <w:pPr>
        <w:spacing w:after="178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041"/>
      </w:tblGrid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№№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br/>
              <w:t>пп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891"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Жилищный фонд, м2</w:t>
            </w:r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14D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14D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Существующий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562E27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86420</w:t>
            </w:r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B11DC"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562E27" w:rsidP="00630B6C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90000</w:t>
            </w:r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630B6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203</w:t>
            </w:r>
            <w:r w:rsidR="00FB11DC"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630B6C" w:rsidP="00562E27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2E2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100000</w:t>
            </w:r>
          </w:p>
        </w:tc>
      </w:tr>
    </w:tbl>
    <w:p w:rsidR="00231666" w:rsidRPr="00630B6C" w:rsidRDefault="00231666" w:rsidP="00630B6C">
      <w:pPr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30B6C">
        <w:rPr>
          <w:rFonts w:ascii="Times New Roman" w:eastAsia="Times New Roman" w:hAnsi="Times New Roman"/>
          <w:b/>
          <w:color w:val="000000"/>
          <w:sz w:val="28"/>
          <w:lang w:eastAsia="ru-RU"/>
        </w:rPr>
        <w:t>Жилая застройка</w:t>
      </w:r>
    </w:p>
    <w:p w:rsidR="00231666" w:rsidRPr="00231666" w:rsidRDefault="00231666" w:rsidP="00630B6C">
      <w:pPr>
        <w:tabs>
          <w:tab w:val="left" w:pos="709"/>
        </w:tabs>
        <w:autoSpaceDE w:val="0"/>
        <w:autoSpaceDN w:val="0"/>
        <w:adjustRightInd w:val="0"/>
        <w:spacing w:before="197" w:after="0" w:line="240" w:lineRule="auto"/>
        <w:ind w:right="141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t>Жилищное строительство является приоритетным направлением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социально-экономической стратегии развития области. Жилая застройка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будет изменяться качественно. При обеспеченности жильем на расчетный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срок 30 кв.м. в пересчете на одного жителя должно возрасти качество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планировочных решений. Оно будет иным. Будут соответствовать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нормативным показателям обеспеченность водой и энергоносителями.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результате мировых тенденций и изменений в качественном составе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жилищном фонде будут жить достаточно мобильные семьи с относительно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высокой долей членов в трудоспособном возрасте и значительным числом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близлежащих центров обслуживания населения и мест приложения труда,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расположенных на этой и сопредельных территориях.</w:t>
      </w:r>
    </w:p>
    <w:p w:rsidR="00231666" w:rsidRPr="00231666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lastRenderedPageBreak/>
        <w:t>Прирост жилищного фонда поселения должен произойти за счет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большей части вновь осваиваемых территорий. Он будет состоять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основном из одноквартирного жилья (индивидуальных домов).</w:t>
      </w:r>
    </w:p>
    <w:p w:rsidR="00231666" w:rsidRPr="00231666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t>В целях увеличения темпов жилищного строительства государством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предлагается активное привлечение средств областного и федерального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бюджетов, активное участие в реализации федеральной и региональной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программ «Жилье», обеспечение жильем отдельных категорий граждан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(ветеранов войн и т.п.), внедрение ипотечного кредитования.</w:t>
      </w:r>
    </w:p>
    <w:p w:rsidR="00231666" w:rsidRPr="00231666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1.4. Оценка нормативно-правовой базы, необходимой для функционирования и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поселения</w:t>
      </w:r>
    </w:p>
    <w:p w:rsidR="00BB15D6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" w:eastAsia="Times New Roman" w:hAnsi="Times New Roman"/>
          <w:sz w:val="28"/>
          <w:szCs w:val="28"/>
          <w:lang w:eastAsia="ru-RU"/>
        </w:rPr>
        <w:t>коммунальной</w:t>
      </w:r>
      <w:r w:rsidR="00A1016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A10164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поселения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 xml:space="preserve">Гудермесского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района разработана на основании и с учётом следующих правовых актов:</w:t>
      </w:r>
    </w:p>
    <w:p w:rsidR="00231666" w:rsidRPr="00231666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</w:rPr>
        <w:t>Градостроительный кодекс Российской Федерации от 29 декабря 2004 года №190-ФЗ.</w:t>
      </w:r>
    </w:p>
    <w:p w:rsidR="00231666" w:rsidRPr="00231666" w:rsidRDefault="00231666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</w:rPr>
        <w:t>Постановление Правительства Российс</w:t>
      </w:r>
      <w:r w:rsidR="00BB15D6">
        <w:rPr>
          <w:rFonts w:ascii="Times New Roman" w:eastAsia="Times New Roman" w:hAnsi="Times New Roman"/>
          <w:sz w:val="28"/>
          <w:szCs w:val="28"/>
        </w:rPr>
        <w:t xml:space="preserve">кой Федерации от 1 октября 2015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года  № 1050 «Об утверждении требований к программам комплексного развития </w:t>
      </w:r>
      <w:r w:rsidR="0075702B">
        <w:rPr>
          <w:rFonts w:ascii="Times New Roman" w:eastAsia="Times New Roman" w:hAnsi="Times New Roman"/>
          <w:sz w:val="28"/>
          <w:szCs w:val="28"/>
        </w:rPr>
        <w:t>коммунальной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инфраструктуры поселений, городских округов».</w:t>
      </w:r>
    </w:p>
    <w:p w:rsidR="00A10164" w:rsidRPr="004C49B9" w:rsidRDefault="00A10164" w:rsidP="00BB1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9B9">
        <w:rPr>
          <w:rFonts w:ascii="Times New Roman" w:eastAsia="Times New Roman" w:hAnsi="Times New Roman"/>
          <w:sz w:val="28"/>
          <w:szCs w:val="28"/>
          <w:lang w:eastAsia="ru-RU"/>
        </w:rPr>
        <w:t>Закон Чеченской Республики от 30.03.2009 года №23-рз «О документах территориального планирования муниципальных образований ЧР».</w:t>
      </w:r>
    </w:p>
    <w:p w:rsidR="00231666" w:rsidRPr="00A10164" w:rsidRDefault="00A10164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A10164">
        <w:rPr>
          <w:rFonts w:ascii="Times New Roman" w:hAnsi="Times New Roman"/>
          <w:sz w:val="28"/>
          <w:szCs w:val="28"/>
        </w:rPr>
        <w:t xml:space="preserve"> Правительства Чеченской Республики №185-р от 20.06.2012 года</w:t>
      </w:r>
      <w:r>
        <w:rPr>
          <w:rFonts w:ascii="Times New Roman" w:hAnsi="Times New Roman"/>
          <w:sz w:val="28"/>
          <w:szCs w:val="28"/>
        </w:rPr>
        <w:t xml:space="preserve"> «Об</w:t>
      </w:r>
      <w:r w:rsidRPr="00A10164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ии</w:t>
      </w:r>
      <w:r w:rsidRPr="00A10164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10164">
        <w:rPr>
          <w:rFonts w:ascii="Times New Roman" w:hAnsi="Times New Roman"/>
          <w:sz w:val="28"/>
          <w:szCs w:val="28"/>
        </w:rPr>
        <w:t>социально-экономического развития Чеченской Республики на период до 2025</w:t>
      </w:r>
      <w:r>
        <w:rPr>
          <w:rFonts w:ascii="Times New Roman" w:hAnsi="Times New Roman"/>
          <w:sz w:val="28"/>
          <w:szCs w:val="28"/>
        </w:rPr>
        <w:t>года».</w:t>
      </w:r>
    </w:p>
    <w:p w:rsidR="00231666" w:rsidRPr="00231666" w:rsidRDefault="00231666" w:rsidP="00BB15D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</w:rPr>
        <w:t>Генеральный план</w:t>
      </w:r>
      <w:r w:rsidR="00412F61">
        <w:rPr>
          <w:rFonts w:ascii="Times New Roman" w:eastAsia="Times New Roman" w:hAnsi="Times New Roman"/>
          <w:sz w:val="28"/>
          <w:szCs w:val="28"/>
        </w:rPr>
        <w:t xml:space="preserve"> </w:t>
      </w:r>
      <w:r w:rsidR="009D2CBC">
        <w:rPr>
          <w:rFonts w:ascii="Times New Roman" w:eastAsia="Times New Roman" w:hAnsi="Times New Roman"/>
          <w:bCs/>
          <w:sz w:val="28"/>
          <w:szCs w:val="28"/>
        </w:rPr>
        <w:t>Брагунского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 xml:space="preserve"> сельск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ого поселения </w:t>
      </w:r>
      <w:r w:rsidR="00412F61">
        <w:rPr>
          <w:rFonts w:ascii="Times New Roman" w:eastAsia="Times New Roman" w:hAnsi="Times New Roman"/>
          <w:bCs/>
          <w:sz w:val="28"/>
          <w:szCs w:val="28"/>
        </w:rPr>
        <w:t>Гудермесского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>утвержденный р</w:t>
      </w:r>
      <w:r w:rsidR="00A10164">
        <w:rPr>
          <w:rFonts w:ascii="Times New Roman" w:eastAsia="Times New Roman" w:hAnsi="Times New Roman"/>
          <w:bCs/>
          <w:sz w:val="28"/>
          <w:szCs w:val="28"/>
        </w:rPr>
        <w:t>ешением совета</w:t>
      </w:r>
      <w:r w:rsidR="00412F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депутатов </w:t>
      </w:r>
      <w:r w:rsidR="009D2CBC">
        <w:rPr>
          <w:rFonts w:ascii="Times New Roman" w:eastAsia="Times New Roman" w:hAnsi="Times New Roman"/>
          <w:bCs/>
          <w:sz w:val="28"/>
          <w:szCs w:val="28"/>
        </w:rPr>
        <w:t>Брагунского</w:t>
      </w:r>
      <w:r w:rsidR="00412F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A10164">
        <w:rPr>
          <w:rFonts w:ascii="Times New Roman" w:eastAsia="Times New Roman" w:hAnsi="Times New Roman"/>
          <w:sz w:val="28"/>
          <w:szCs w:val="28"/>
        </w:rPr>
        <w:t>6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декабря 201</w:t>
      </w:r>
      <w:r w:rsidR="00A10164">
        <w:rPr>
          <w:rFonts w:ascii="Times New Roman" w:eastAsia="Times New Roman" w:hAnsi="Times New Roman"/>
          <w:sz w:val="28"/>
          <w:szCs w:val="28"/>
        </w:rPr>
        <w:t xml:space="preserve">2 года № </w:t>
      </w:r>
      <w:r w:rsidRPr="00231666">
        <w:rPr>
          <w:rFonts w:ascii="Times New Roman" w:eastAsia="Times New Roman" w:hAnsi="Times New Roman"/>
          <w:sz w:val="28"/>
          <w:szCs w:val="28"/>
        </w:rPr>
        <w:t>2</w:t>
      </w:r>
      <w:r w:rsidR="007A20A0">
        <w:rPr>
          <w:rFonts w:ascii="Times New Roman" w:eastAsia="Times New Roman" w:hAnsi="Times New Roman"/>
          <w:sz w:val="28"/>
          <w:szCs w:val="28"/>
        </w:rPr>
        <w:t>0</w:t>
      </w:r>
    </w:p>
    <w:p w:rsidR="00BB15D6" w:rsidRDefault="00BB15D6" w:rsidP="0023166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настоящей программы позволит обеспечить развитие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231666" w:rsidRPr="00231666" w:rsidRDefault="00231666" w:rsidP="00BB15D6">
      <w:pPr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Программный метод, а именно разработка  программы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на 2016-203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BB15D6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2. Перечень мероприятий (инвестиционных проектов)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учитывает планируемые мероприятия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федерального значения, 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BB15D6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 Программы: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обеспечение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 для закрепления населения, повышения уровня его жизни.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Задачи Программы: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7A2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путем формирования благоприятного социального климата для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реализуется в период 2016-203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 в 2 этапа.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поселения: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Проектирование и строительство общеобразовательной школы.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Проектирование и строительство помещений для физкультурных занятий и тренировок;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Капитальный ремонт и ремонт автомобильных дорог местного значения;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Строительство и реконструкция объектов во</w:t>
      </w:r>
      <w:r w:rsidR="008247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доснабжения.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B15D6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включает укрупненную оценку необходимых инвестиций с разбивкой по видам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15D6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Финансирование входящих в Программу мероприятий осуществляется за счет средств бюджета </w:t>
      </w:r>
      <w:r w:rsidR="008247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бюджета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муниципального района, бюджета 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</w:p>
    <w:p w:rsidR="00231666" w:rsidRPr="00F95147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Прогнозный общий объем финансирования Программы на период 2016-203</w:t>
      </w:r>
      <w:r w:rsidR="008247C9"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B08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годов составляет 75</w:t>
      </w:r>
      <w:r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000,0 тыс. руб., в том числе по годам:</w:t>
      </w:r>
    </w:p>
    <w:p w:rsidR="00231666" w:rsidRPr="00F95147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2016 год -   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2017 год -   3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тыс. рублей; </w:t>
      </w:r>
    </w:p>
    <w:p w:rsidR="00231666" w:rsidRPr="00F95147" w:rsidRDefault="004B08F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 -    4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тыс.рублей; 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2019 год -    14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000,0 тыс.рублей;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2020 год -   3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тыс.рублей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247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-203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-    45 000,0 тыс.рублей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реализацию мероприятий могут привлекаться также другие источники.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31666" w:rsidRPr="00231666" w:rsidSect="00C5434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231666" w:rsidRPr="00231666" w:rsidTr="00231666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Таблица 3. Объемы и источники финансирования мероприятий Программы</w:t>
            </w:r>
          </w:p>
        </w:tc>
      </w:tr>
      <w:tr w:rsidR="00231666" w:rsidRPr="00231666" w:rsidTr="00231666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231666" w:rsidRPr="00231666" w:rsidTr="00231666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</w:t>
            </w:r>
          </w:p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ликан</w:t>
            </w:r>
          </w:p>
          <w:p w:rsidR="00231666" w:rsidRPr="00231666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</w:t>
            </w:r>
            <w:r w:rsidR="007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коммунальной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инфраструктуры </w:t>
            </w:r>
            <w:r w:rsidR="009D2C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на 2016-203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развития </w:t>
            </w:r>
            <w:r w:rsidR="007570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инфраструктуры </w:t>
            </w:r>
            <w:r w:rsidR="009D2C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231666" w:rsidRPr="00231666" w:rsidTr="00231666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31666" w:rsidRPr="00231666" w:rsidTr="00231666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412F61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Гудермесский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9D2CBC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Гудермесского 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9D2CBC" w:rsidP="00824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27800,0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EA463B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9D2CBC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053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0537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231666" w:rsidRPr="00231666" w:rsidSect="00231666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231666" w:rsidRPr="00231666" w:rsidRDefault="00231666" w:rsidP="0005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Раздел 4.  </w:t>
      </w:r>
      <w:r w:rsidRPr="00231666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</w:t>
      </w:r>
      <w:r w:rsidR="0075702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инфраструктуры</w:t>
      </w:r>
    </w:p>
    <w:p w:rsidR="0005375A" w:rsidRDefault="00231666" w:rsidP="000537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05375A" w:rsidRPr="00231666" w:rsidRDefault="0005375A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FA" w:rsidRPr="00D957D0" w:rsidRDefault="003F37FA" w:rsidP="003F37FA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kern w:val="1"/>
          <w:sz w:val="26"/>
          <w:szCs w:val="26"/>
        </w:rPr>
        <w:t xml:space="preserve">Перечень мероприятий по территориальному планированию и этапы их реализации по разделу объектов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торговли, общественного питания и бытового обслуживания</w:t>
      </w:r>
    </w:p>
    <w:p w:rsidR="003F37FA" w:rsidRPr="00D957D0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2876"/>
        <w:gridCol w:w="1602"/>
        <w:gridCol w:w="1740"/>
        <w:gridCol w:w="1097"/>
        <w:gridCol w:w="1097"/>
      </w:tblGrid>
      <w:tr w:rsidR="003F37FA" w:rsidRPr="003A01AB" w:rsidTr="003F37FA">
        <w:trPr>
          <w:cantSplit/>
          <w:trHeight w:val="319"/>
          <w:jc w:val="center"/>
        </w:trPr>
        <w:tc>
          <w:tcPr>
            <w:tcW w:w="591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876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Учреждения, предприятия, сооружения</w:t>
            </w:r>
          </w:p>
        </w:tc>
        <w:tc>
          <w:tcPr>
            <w:tcW w:w="1602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lang w:eastAsia="ru-RU"/>
              </w:rPr>
              <w:t xml:space="preserve">Норматив обеспеченность </w:t>
            </w:r>
            <w:r w:rsidRPr="003A01AB">
              <w:rPr>
                <w:rFonts w:ascii="Times New Roman" w:eastAsia="Times New Roman" w:hAnsi="Times New Roman"/>
                <w:lang w:eastAsia="ru-RU"/>
              </w:rPr>
              <w:t>на 1 тыс. 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Общая потребность</w:t>
            </w:r>
          </w:p>
        </w:tc>
      </w:tr>
      <w:tr w:rsidR="003F37FA" w:rsidRPr="003A01AB" w:rsidTr="003F37FA">
        <w:trPr>
          <w:cantSplit/>
          <w:trHeight w:val="180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Расчётный срок.</w:t>
            </w:r>
          </w:p>
        </w:tc>
      </w:tr>
      <w:tr w:rsidR="003F37FA" w:rsidRPr="003A01AB" w:rsidTr="003F37FA">
        <w:trPr>
          <w:cantSplit/>
          <w:trHeight w:val="165"/>
          <w:jc w:val="center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7FA" w:rsidRPr="003A01AB" w:rsidTr="003F37FA">
        <w:trPr>
          <w:cantSplit/>
          <w:trHeight w:val="70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A01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торг.</w:t>
            </w:r>
            <w:r w:rsidR="00C05A74"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площ.</w:t>
            </w:r>
          </w:p>
        </w:tc>
        <w:tc>
          <w:tcPr>
            <w:tcW w:w="1740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</w:t>
            </w:r>
          </w:p>
        </w:tc>
      </w:tr>
      <w:tr w:rsidR="003F37FA" w:rsidRPr="003A01AB" w:rsidTr="003F37FA">
        <w:trPr>
          <w:cantSplit/>
          <w:trHeight w:val="444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3F37FA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37FA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40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B537E" w:rsidRPr="003A01AB" w:rsidTr="00412F61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(операционное место обслуживания заявителей)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1740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97" w:type="dxa"/>
            <w:vAlign w:val="center"/>
          </w:tcPr>
          <w:p w:rsidR="00DB537E" w:rsidRPr="003A01AB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7" w:type="dxa"/>
            <w:vAlign w:val="center"/>
          </w:tcPr>
          <w:p w:rsidR="00DB537E" w:rsidRPr="003A01AB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DB537E" w:rsidRPr="00D957D0" w:rsidTr="00412F61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6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740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dxa"/>
            <w:vAlign w:val="center"/>
          </w:tcPr>
          <w:p w:rsidR="00DB537E" w:rsidRPr="00231666" w:rsidRDefault="00FB3482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DB537E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6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F37FA" w:rsidRPr="00D957D0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2011 г. на территории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3A420B">
        <w:rPr>
          <w:rFonts w:ascii="Times New Roman" w:eastAsia="Times New Roman" w:hAnsi="Times New Roman"/>
          <w:sz w:val="26"/>
          <w:szCs w:val="26"/>
          <w:lang w:eastAsia="ru-RU"/>
        </w:rPr>
        <w:t>ельского поселения действовало 3</w:t>
      </w:r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 магазина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 розничной торговли.  В настоящее время средняя обеспеченность населения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магазинами розничной торговли намного ниже рекомендованной нормативом СНиП.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Отрасль общественного питания на территории поселения отсутствует. </w:t>
      </w:r>
    </w:p>
    <w:p w:rsidR="003F37FA" w:rsidRPr="00D957D0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3F37FA" w:rsidRPr="00D957D0" w:rsidRDefault="003F37FA" w:rsidP="003F37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3F37FA" w:rsidRPr="00D957D0" w:rsidRDefault="003F37FA" w:rsidP="003F37FA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bookmarkStart w:id="3" w:name="_Toc315340242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lastRenderedPageBreak/>
        <w:t>Предложения по обеспечению территории сельского поселения объектами библиотечного обслуживания, культуры, объектами физкультуры и спорта</w:t>
      </w:r>
      <w:bookmarkEnd w:id="3"/>
    </w:p>
    <w:p w:rsidR="003F37FA" w:rsidRPr="00D957D0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p w:rsidR="003F37FA" w:rsidRPr="00D957D0" w:rsidRDefault="003F37FA" w:rsidP="003F37FA">
      <w:pPr>
        <w:snapToGrid w:val="0"/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Перечень мероприятий по территориальному планированию по разделу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библиотечного обслуживания и культуры</w:t>
      </w: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 сельского поселения</w:t>
      </w:r>
    </w:p>
    <w:tbl>
      <w:tblPr>
        <w:tblW w:w="8830" w:type="dxa"/>
        <w:jc w:val="center"/>
        <w:tblInd w:w="-695" w:type="dxa"/>
        <w:tblLayout w:type="fixed"/>
        <w:tblLook w:val="0000"/>
      </w:tblPr>
      <w:tblGrid>
        <w:gridCol w:w="589"/>
        <w:gridCol w:w="5156"/>
        <w:gridCol w:w="3085"/>
      </w:tblGrid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Мероприятие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Строительство СДК  на 250 мест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 xml:space="preserve">Строительство здания библиотеки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 xml:space="preserve">Строительство культурно-спортивного центра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</w:tbl>
    <w:p w:rsidR="003F37FA" w:rsidRPr="00D957D0" w:rsidRDefault="003F37FA" w:rsidP="003F37FA">
      <w:pPr>
        <w:spacing w:before="120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2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Перечень мероприятий по территориальному планированию по разделу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объектов физической культуры и спорта</w:t>
      </w:r>
    </w:p>
    <w:tbl>
      <w:tblPr>
        <w:tblW w:w="9208" w:type="dxa"/>
        <w:jc w:val="center"/>
        <w:tblInd w:w="421" w:type="dxa"/>
        <w:tblLayout w:type="fixed"/>
        <w:tblLook w:val="0000"/>
      </w:tblPr>
      <w:tblGrid>
        <w:gridCol w:w="567"/>
        <w:gridCol w:w="7230"/>
        <w:gridCol w:w="1411"/>
      </w:tblGrid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Строительство культурно-спортивного центра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201</w:t>
            </w:r>
            <w:r w:rsidR="007A20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D9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плавательного бассейна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2016-2025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pacing w:before="120" w:after="0" w:line="240" w:lineRule="auto"/>
        <w:ind w:firstLine="539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3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учреждения </w:t>
      </w:r>
      <w:r w:rsidRPr="00D957D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9209" w:type="dxa"/>
        <w:jc w:val="center"/>
        <w:tblLayout w:type="fixed"/>
        <w:tblLook w:val="0000"/>
      </w:tblPr>
      <w:tblGrid>
        <w:gridCol w:w="650"/>
        <w:gridCol w:w="6507"/>
        <w:gridCol w:w="2052"/>
      </w:tblGrid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№ п/п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Строительства д/сада на 90мест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Строительство детского сада на 50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E12B00"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троительство здания школы на 360</w:t>
            </w: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2016-2031гг 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AC23C7" w:rsidRDefault="003F37FA" w:rsidP="003F37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_Toc315340243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8</w:t>
      </w:r>
      <w:r w:rsidRPr="00D957D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</w:r>
      <w:bookmarkEnd w:id="4"/>
    </w:p>
    <w:p w:rsidR="003F37FA" w:rsidRPr="00D957D0" w:rsidRDefault="003F37FA" w:rsidP="003F37F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архитектурно-планировочными решениями проектом на первую очередь закладывается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2,2 га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насаждений общего пользования, что составит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12 м</w:t>
      </w:r>
      <w:r w:rsidRPr="00D957D0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t>2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/чел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на расчетный срок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, площадь объектов озеленения составит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2,0 га– 15,1 м</w:t>
      </w:r>
      <w:r w:rsidRPr="00D957D0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t>2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/чел.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Проектом генерального плана предлагается на первую очередь организация сквера у спортивной площадки. Необходимо озеленение и благоустройство данной территории, и выделение участка для детской игровой зоны.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C05A74">
        <w:rPr>
          <w:rFonts w:ascii="Times New Roman" w:eastAsia="Times New Roman" w:hAnsi="Times New Roman"/>
          <w:sz w:val="26"/>
          <w:szCs w:val="26"/>
          <w:lang w:eastAsia="ru-RU"/>
        </w:rPr>
        <w:t>Брагуны</w:t>
      </w:r>
      <w:r w:rsidR="00412F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проектируется на первую очередь озеленение центральной площади с включением малых архитектурных форм. На расчетный срок предлагается организация сквера  с предусмотренной детской зоной для активных игр с качелями и горками. Для сохранения естественных природных ландшафтов в 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условиях высокой освоенности территории необходимо выделение лугопарков в черте населенных пунктов. Для объединения двух зон отдыха и расширения рекреационных функций предлагается частичное благоустройство лесного массива.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 проекте уделено внимание проблеме организации детских зон в скверах с</w:t>
      </w:r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ела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предлагается организация детской зоны общей площадью 1,5га на территории двух объектов зеленых насаждений общего пользования.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черте населенных пунктов необходимо озеленение санитарно-защитных зон и придорожных защитных полос там, где озеленение отсутствует, так же необходимо предусмотреть на их территории сбор осенних листьев и утилизацию их на полигоне ТБО без компостирования, в связи с возможным вторичным загрязнением почв. </w:t>
      </w:r>
    </w:p>
    <w:p w:rsidR="003F37FA" w:rsidRPr="00D957D0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37FA" w:rsidRPr="00D957D0" w:rsidRDefault="003F37FA" w:rsidP="003F37FA">
      <w:pPr>
        <w:spacing w:after="0" w:line="240" w:lineRule="auto"/>
        <w:ind w:firstLine="90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Проектный план</w:t>
      </w:r>
    </w:p>
    <w:p w:rsidR="003F37FA" w:rsidRPr="00D957D0" w:rsidRDefault="003F37FA" w:rsidP="003F37FA">
      <w:pPr>
        <w:spacing w:before="60" w:after="0" w:line="240" w:lineRule="auto"/>
        <w:ind w:firstLine="74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Проектная система озеленения строится в соответствии с общими архитектурно-планировочными решениями и базируется на основе структуры природных ландшафтов.</w:t>
      </w:r>
    </w:p>
    <w:p w:rsidR="003F37FA" w:rsidRPr="00D957D0" w:rsidRDefault="003F37FA" w:rsidP="003F37FA">
      <w:pPr>
        <w:spacing w:after="0" w:line="240" w:lineRule="auto"/>
        <w:ind w:firstLine="74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Для дальнейшего развития планировочной структуры зеленых насаждений предлагается: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формирование непрерывной системы зеленых насаждений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 планировочных районах организовывать новые объекты зеленых насаждений общего пользования с благоустройством детских площадок;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предусмотреть сохранение естественных ландшафтов в условиях значительной освоенности прилегающих территорий.</w:t>
      </w:r>
    </w:p>
    <w:p w:rsidR="003F37FA" w:rsidRPr="00D957D0" w:rsidRDefault="003F37FA" w:rsidP="003F37F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napToGrid w:val="0"/>
        <w:spacing w:before="120" w:after="0" w:line="24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Рекреация и туризм</w:t>
      </w:r>
    </w:p>
    <w:p w:rsidR="003F37FA" w:rsidRPr="00D957D0" w:rsidRDefault="003F37FA" w:rsidP="003F37FA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территории рекреационного назначения в поселении представлены неорганизованной зоной отдыха. Отсутствуют организованные пляжи, площадки для размещения отдыхающих. 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Лесопарковая часть зеленой зоны не обустроена должным образом, не создана планировочная структура и социальная инфраструктура лесопарков. Благоустройство территории требует определенных финансовых инвестиций.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значимость и возможности природного комплекса поселения для развития отдыха и туризма, проектом предлагается организация зон кратковременного отдыха для взрослых и детей.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 случае невозможности освоения территорий зон отдыха полностью до расчетного срок, их следует зарезервировать для использования на перспективу. Формирование и благоустройство зон отдыха должно быть постепенным, носить стадийных характер освоения по объектам отдыха.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napToGri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поселения предлагается развитие трех рекреационных зон: </w:t>
      </w:r>
    </w:p>
    <w:p w:rsidR="003F37FA" w:rsidRPr="00D957D0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поселения предлагается развитие трех рекреационных зон. </w:t>
      </w:r>
    </w:p>
    <w:p w:rsidR="003F37FA" w:rsidRPr="003F37FA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 территории поселения предлагается развитие двух рекреационных зон. </w:t>
      </w:r>
    </w:p>
    <w:p w:rsidR="003F37FA" w:rsidRPr="003F37FA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Площадки расположены вблизи природных привлекательных мест. Данные зоны предназначены для развития преиму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щественно сезонного семейного и </w:t>
      </w: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пляжного отдыха и для развития массовой рекреации. </w:t>
      </w:r>
    </w:p>
    <w:p w:rsidR="003F37FA" w:rsidRPr="003F37FA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Проектом генерального плана предлагается на первую очередь организация сквера у спортивной площадки.</w:t>
      </w:r>
    </w:p>
    <w:p w:rsidR="003F37FA" w:rsidRPr="003F37FA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На расчетный срок предлагается организация сквера  с предусмотренной детской зоной для активных игр с качелями и горками.</w:t>
      </w:r>
    </w:p>
    <w:p w:rsidR="003F37FA" w:rsidRPr="00AC23C7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5" w:name="_Toc315340244"/>
      <w:r w:rsidRPr="00D957D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9. Предложения по обеспечению территории сельского поселения местами сбора бытовых отходов</w:t>
      </w:r>
      <w:bookmarkEnd w:id="5"/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соответствии со Схемой территориального планирования </w:t>
      </w:r>
      <w:r w:rsidR="00412F6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муниципального  района на территории </w:t>
      </w:r>
      <w:r w:rsidR="00412F6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муниципального района  предусматривается централизованная система сбора и вывоза ТБО. В районных центрах предлагается организовать районные мусоронакопительные пункты, из которых утилизируемые отходы будут перевозиться в межрайонные мусоронакопительные станции, а оттуда на мусороперерабатывающий завод или на другие перерабатывающие предприятия по договорам.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Настоящим проектом на расчётный срок предусматривается внедрение на территории сельского поселения централизованной системы сбора и вывоза ТБО.</w:t>
      </w:r>
    </w:p>
    <w:p w:rsidR="003F37FA" w:rsidRPr="00D957D0" w:rsidRDefault="007A20A0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809B9">
        <w:rPr>
          <w:rFonts w:ascii="Times New Roman" w:eastAsia="Times New Roman" w:hAnsi="Times New Roman"/>
          <w:sz w:val="26"/>
          <w:szCs w:val="26"/>
          <w:lang w:eastAsia="ru-RU"/>
        </w:rPr>
        <w:t>Брагунском</w:t>
      </w:r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>сельском поселении предусматривается организация контейнерных площадок и сбор бытового мусора в контейнеры. Вывоз отходов может быть по расписанию по заявке или по звонку. Не утилизир</w:t>
      </w:r>
      <w:r w:rsidR="00F95147">
        <w:rPr>
          <w:rFonts w:ascii="Times New Roman" w:eastAsia="Times New Roman" w:hAnsi="Times New Roman"/>
          <w:sz w:val="26"/>
          <w:szCs w:val="26"/>
          <w:lang w:eastAsia="ru-RU"/>
        </w:rPr>
        <w:t>уемая часть отходов будет захора</w:t>
      </w:r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ниваться на усовершенствованной свалке. В  </w:t>
      </w:r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>с.Брагуны</w:t>
      </w:r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вывоза утильной части отходов необходимо предусмотреть полигон ТБО.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контейнерных площадок, расчёт количества контейнеров и необходимое количество автотранспорта рассчитываются в Генеральной схеме санитарной очистки </w:t>
      </w:r>
      <w:r w:rsidR="00412F61">
        <w:rPr>
          <w:rFonts w:ascii="Times New Roman" w:eastAsia="Times New Roman" w:hAnsi="Times New Roman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Несанкционированные свалки, расположенные на территории сельского поселения подлежат закрытию и рекультивации, ввиду их несоответствия санитарно-гигиеническим требованиям.</w:t>
      </w:r>
    </w:p>
    <w:p w:rsidR="003F37FA" w:rsidRPr="00D957D0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bookmarkStart w:id="6" w:name="_Toc315340245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Предложения по обеспечению территории сельского поселения местами захоронения</w:t>
      </w:r>
      <w:bookmarkEnd w:id="6"/>
    </w:p>
    <w:p w:rsidR="003F37FA" w:rsidRPr="00D957D0" w:rsidRDefault="003F37FA" w:rsidP="003F3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bidi="en-US"/>
        </w:rPr>
      </w:pPr>
      <w:r w:rsidRPr="00D957D0">
        <w:rPr>
          <w:rFonts w:ascii="Times New Roman" w:eastAsia="Arial" w:hAnsi="Times New Roman"/>
          <w:sz w:val="26"/>
          <w:szCs w:val="26"/>
          <w:lang w:bidi="en-US"/>
        </w:rPr>
        <w:t>Согласно ст. 14 и 14.1. ФЗ-131 к полномочиям администрации сельского поселения относится содержание мест захоронения.</w:t>
      </w:r>
    </w:p>
    <w:p w:rsidR="003F37FA" w:rsidRPr="00D957D0" w:rsidRDefault="003F37FA" w:rsidP="003F37F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pacing w:val="-10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 w:cs="Arial"/>
          <w:sz w:val="26"/>
          <w:szCs w:val="26"/>
          <w:lang w:eastAsia="ru-RU"/>
        </w:rPr>
        <w:t>На территории сельского поселения находится 2  действующих кладбища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общей площадью </w:t>
      </w:r>
      <w:r w:rsidR="00E12B00" w:rsidRPr="00DB5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B537E">
        <w:rPr>
          <w:rFonts w:ascii="Times New Roman" w:eastAsia="Times New Roman" w:hAnsi="Times New Roman"/>
          <w:sz w:val="26"/>
          <w:szCs w:val="26"/>
          <w:lang w:eastAsia="ru-RU"/>
        </w:rPr>
        <w:t xml:space="preserve"> га.</w:t>
      </w:r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7D0">
        <w:rPr>
          <w:rFonts w:ascii="Times New Roman" w:eastAsia="Times New Roman" w:hAnsi="Times New Roman" w:cs="Arial"/>
          <w:sz w:val="26"/>
          <w:szCs w:val="26"/>
          <w:lang w:eastAsia="ru-RU"/>
        </w:rPr>
        <w:t>П</w:t>
      </w:r>
      <w:r w:rsidRPr="00D957D0">
        <w:rPr>
          <w:rFonts w:ascii="Times New Roman" w:eastAsia="Times New Roman" w:hAnsi="Times New Roman" w:cs="Arial"/>
          <w:spacing w:val="-10"/>
          <w:sz w:val="26"/>
          <w:szCs w:val="26"/>
          <w:lang w:eastAsia="ru-RU"/>
        </w:rPr>
        <w:t xml:space="preserve">редполагается использование кладбищ до конца проектного срока. </w:t>
      </w:r>
    </w:p>
    <w:p w:rsidR="003F37FA" w:rsidRPr="00D957D0" w:rsidRDefault="003F37FA" w:rsidP="003F37FA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/>
          <w:b/>
          <w:sz w:val="26"/>
          <w:szCs w:val="26"/>
          <w:lang w:bidi="en-US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>Перечень</w:t>
      </w:r>
      <w:r w:rsidR="003A01AB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 xml:space="preserve"> </w:t>
      </w: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 xml:space="preserve">мероприятий по территориальному планированию по </w:t>
      </w:r>
      <w:r w:rsidRPr="00D957D0">
        <w:rPr>
          <w:rFonts w:ascii="Times New Roman" w:eastAsia="Arial" w:hAnsi="Times New Roman"/>
          <w:b/>
          <w:sz w:val="26"/>
          <w:szCs w:val="26"/>
          <w:lang w:bidi="en-US"/>
        </w:rPr>
        <w:t>организации мест захоронения</w:t>
      </w:r>
    </w:p>
    <w:tbl>
      <w:tblPr>
        <w:tblW w:w="9319" w:type="dxa"/>
        <w:jc w:val="center"/>
        <w:tblInd w:w="-249" w:type="dxa"/>
        <w:tblLayout w:type="fixed"/>
        <w:tblLook w:val="0000"/>
      </w:tblPr>
      <w:tblGrid>
        <w:gridCol w:w="672"/>
        <w:gridCol w:w="4185"/>
        <w:gridCol w:w="4462"/>
      </w:tblGrid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Описание мероприятия и последовательность его выполнения</w:t>
            </w:r>
          </w:p>
        </w:tc>
      </w:tr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Кладбища</w:t>
            </w:r>
          </w:p>
        </w:tc>
      </w:tr>
      <w:tr w:rsidR="003F37FA" w:rsidRPr="00D957D0" w:rsidTr="00D83E9F">
        <w:trPr>
          <w:cantSplit/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lastRenderedPageBreak/>
              <w:t>1.1.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tabs>
                <w:tab w:val="left" w:pos="87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Благоустройство действующих кладбищ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Очистка территории, устройство водопровода, устройство мест сбора мусора.</w:t>
            </w:r>
          </w:p>
        </w:tc>
      </w:tr>
    </w:tbl>
    <w:p w:rsidR="00F26F82" w:rsidRPr="003F37FA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Современная обеспеченность значительно выше нормативной потребности на расчетный срок. Таким образом, организация новых кладбищ на территории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не потребуется.</w:t>
      </w:r>
    </w:p>
    <w:p w:rsidR="00F26F82" w:rsidRPr="00231666" w:rsidRDefault="00F26F82" w:rsidP="003F37FA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1011"/>
        <w:gridCol w:w="2123"/>
        <w:gridCol w:w="1134"/>
        <w:gridCol w:w="2146"/>
        <w:gridCol w:w="1011"/>
        <w:gridCol w:w="850"/>
        <w:gridCol w:w="1116"/>
      </w:tblGrid>
      <w:tr w:rsidR="0051172D" w:rsidRPr="00231666" w:rsidTr="00231666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51172D" w:rsidRPr="00231666" w:rsidTr="00CD382C">
        <w:trPr>
          <w:trHeight w:val="2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231666" w:rsidRDefault="0051172D" w:rsidP="005117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(операционное место обслуживания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заявителей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1172D" w:rsidRPr="00231666" w:rsidTr="00CD382C">
        <w:trPr>
          <w:trHeight w:val="27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F37FA" w:rsidRDefault="003F37FA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F37FA" w:rsidRDefault="00231666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5. </w:t>
      </w:r>
    </w:p>
    <w:p w:rsidR="00231666" w:rsidRPr="00231666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Оценка эффективности мероприятий (инвестиционных проектов) по проектированию, строительству,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поселения, целям и задачам программы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Toc502538684"/>
      <w:bookmarkStart w:id="8" w:name="_Toc502407507"/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>Гудермесского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 203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F95147">
        <w:rPr>
          <w:rFonts w:ascii="Times New Roman" w:eastAsia="Times New Roman" w:hAnsi="Times New Roman"/>
          <w:color w:val="000000"/>
          <w:sz w:val="28"/>
          <w:lang w:eastAsia="ru-RU"/>
        </w:rPr>
        <w:t>286</w:t>
      </w:r>
      <w:r w:rsidR="00363DC4">
        <w:rPr>
          <w:rFonts w:ascii="Times New Roman" w:eastAsia="Times New Roman" w:hAnsi="Times New Roman"/>
          <w:color w:val="000000"/>
          <w:sz w:val="28"/>
          <w:lang w:eastAsia="ru-RU"/>
        </w:rPr>
        <w:t>0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помещения для физкультурных занятий и тренировок, при расчетном показателе 80 кв.м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203</w:t>
      </w:r>
      <w:r w:rsidR="0036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уровень обеспеченности населения централизованным водоснабжением и газоснабжением составит 100%, в настоящее время они составляют 50% от общей численности населения. 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параметры автомобильных дорог в зависимости от категории и  основного назначения дорог и улиц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 реализации мероприятий Программы будут соответствовать нормам.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7"/>
      <w:bookmarkEnd w:id="8"/>
    </w:p>
    <w:p w:rsidR="003F37FA" w:rsidRDefault="003F37FA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F37FA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6. </w:t>
      </w:r>
    </w:p>
    <w:p w:rsidR="00231666" w:rsidRPr="00231666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3F37FA" w:rsidRDefault="003F37FA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с учетом федеральных проектов и программ, государственных программ 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программ муниципального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>Гудермесского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реализуемых на территории поселения.</w:t>
      </w:r>
    </w:p>
    <w:p w:rsidR="00D7627E" w:rsidRPr="008C3D75" w:rsidRDefault="00231666" w:rsidP="0051172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изложенной в Программе политикой администрация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3F37FA" w:rsidRPr="003F37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поставленных Программой задач.  </w:t>
      </w:r>
    </w:p>
    <w:sectPr w:rsidR="00D7627E" w:rsidRPr="008C3D75" w:rsidSect="00231666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9F" w:rsidRDefault="00374C9F" w:rsidP="006E77DA">
      <w:pPr>
        <w:spacing w:after="0" w:line="240" w:lineRule="auto"/>
      </w:pPr>
      <w:r>
        <w:separator/>
      </w:r>
    </w:p>
  </w:endnote>
  <w:endnote w:type="continuationSeparator" w:id="0">
    <w:p w:rsidR="00374C9F" w:rsidRDefault="00374C9F" w:rsidP="006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9F" w:rsidRDefault="00374C9F" w:rsidP="006E77DA">
      <w:pPr>
        <w:spacing w:after="0" w:line="240" w:lineRule="auto"/>
      </w:pPr>
      <w:r>
        <w:separator/>
      </w:r>
    </w:p>
  </w:footnote>
  <w:footnote w:type="continuationSeparator" w:id="0">
    <w:p w:rsidR="00374C9F" w:rsidRDefault="00374C9F" w:rsidP="006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75" w:rsidRDefault="00FD2B75">
    <w:pPr>
      <w:pStyle w:val="a3"/>
      <w:jc w:val="center"/>
    </w:pPr>
  </w:p>
  <w:p w:rsidR="00FD2B75" w:rsidRDefault="00FD2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75" w:rsidRDefault="00FD2B75">
    <w:pPr>
      <w:pStyle w:val="a3"/>
      <w:jc w:val="center"/>
    </w:pPr>
  </w:p>
  <w:p w:rsidR="00FD2B75" w:rsidRDefault="00FD2B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A00"/>
    <w:multiLevelType w:val="hybridMultilevel"/>
    <w:tmpl w:val="B4FE0174"/>
    <w:lvl w:ilvl="0" w:tplc="F6EEAB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D8D32C9"/>
    <w:multiLevelType w:val="hybridMultilevel"/>
    <w:tmpl w:val="FD26592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52D75"/>
    <w:multiLevelType w:val="hybridMultilevel"/>
    <w:tmpl w:val="039828F6"/>
    <w:lvl w:ilvl="0" w:tplc="A33E0F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59D11BC"/>
    <w:multiLevelType w:val="hybridMultilevel"/>
    <w:tmpl w:val="20DC1B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45F758E8"/>
    <w:multiLevelType w:val="hybridMultilevel"/>
    <w:tmpl w:val="C06C9AF6"/>
    <w:lvl w:ilvl="0" w:tplc="5F7EEA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6C75D9"/>
    <w:multiLevelType w:val="hybridMultilevel"/>
    <w:tmpl w:val="9A8EC536"/>
    <w:lvl w:ilvl="0" w:tplc="B1EAF7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81921"/>
    <w:multiLevelType w:val="hybridMultilevel"/>
    <w:tmpl w:val="5AF012B6"/>
    <w:lvl w:ilvl="0" w:tplc="04190001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A3"/>
    <w:rsid w:val="00024FED"/>
    <w:rsid w:val="0002673E"/>
    <w:rsid w:val="0004440A"/>
    <w:rsid w:val="00051995"/>
    <w:rsid w:val="00052BDE"/>
    <w:rsid w:val="0005375A"/>
    <w:rsid w:val="000721F4"/>
    <w:rsid w:val="00080531"/>
    <w:rsid w:val="0008678B"/>
    <w:rsid w:val="00087C6F"/>
    <w:rsid w:val="000918B1"/>
    <w:rsid w:val="000A0324"/>
    <w:rsid w:val="000A1374"/>
    <w:rsid w:val="000A72F5"/>
    <w:rsid w:val="000B09E4"/>
    <w:rsid w:val="000C14C2"/>
    <w:rsid w:val="000C40F1"/>
    <w:rsid w:val="000E38CF"/>
    <w:rsid w:val="000E6404"/>
    <w:rsid w:val="000F2A17"/>
    <w:rsid w:val="00105C2A"/>
    <w:rsid w:val="0010791E"/>
    <w:rsid w:val="0011170F"/>
    <w:rsid w:val="001220D8"/>
    <w:rsid w:val="0012525E"/>
    <w:rsid w:val="0013165B"/>
    <w:rsid w:val="00134929"/>
    <w:rsid w:val="0014089F"/>
    <w:rsid w:val="00144B39"/>
    <w:rsid w:val="0015239F"/>
    <w:rsid w:val="0017646F"/>
    <w:rsid w:val="0018772A"/>
    <w:rsid w:val="0019129F"/>
    <w:rsid w:val="001C4FE1"/>
    <w:rsid w:val="001C5D92"/>
    <w:rsid w:val="001E5814"/>
    <w:rsid w:val="002008D4"/>
    <w:rsid w:val="00202637"/>
    <w:rsid w:val="00215E9C"/>
    <w:rsid w:val="00222CE1"/>
    <w:rsid w:val="00231666"/>
    <w:rsid w:val="00232A93"/>
    <w:rsid w:val="00232E5E"/>
    <w:rsid w:val="0024267A"/>
    <w:rsid w:val="00245FDE"/>
    <w:rsid w:val="00256A78"/>
    <w:rsid w:val="002607DF"/>
    <w:rsid w:val="00266913"/>
    <w:rsid w:val="00272CA1"/>
    <w:rsid w:val="002775DD"/>
    <w:rsid w:val="002806D8"/>
    <w:rsid w:val="002A1634"/>
    <w:rsid w:val="002A380A"/>
    <w:rsid w:val="002A6E88"/>
    <w:rsid w:val="002B17DF"/>
    <w:rsid w:val="002D1F1A"/>
    <w:rsid w:val="002E3B85"/>
    <w:rsid w:val="002E6AC5"/>
    <w:rsid w:val="002E76D6"/>
    <w:rsid w:val="002E7B28"/>
    <w:rsid w:val="002F03B2"/>
    <w:rsid w:val="002F1757"/>
    <w:rsid w:val="002F2B3D"/>
    <w:rsid w:val="002F5E8E"/>
    <w:rsid w:val="003053D5"/>
    <w:rsid w:val="00305F2E"/>
    <w:rsid w:val="00334E6C"/>
    <w:rsid w:val="00342181"/>
    <w:rsid w:val="003431B7"/>
    <w:rsid w:val="0034684A"/>
    <w:rsid w:val="003515F8"/>
    <w:rsid w:val="00352F50"/>
    <w:rsid w:val="00355C47"/>
    <w:rsid w:val="00363DC4"/>
    <w:rsid w:val="003675EF"/>
    <w:rsid w:val="00374C9F"/>
    <w:rsid w:val="00396338"/>
    <w:rsid w:val="003A01AB"/>
    <w:rsid w:val="003A420B"/>
    <w:rsid w:val="003A7A38"/>
    <w:rsid w:val="003B4D2F"/>
    <w:rsid w:val="003C58AA"/>
    <w:rsid w:val="003E1230"/>
    <w:rsid w:val="003F27AD"/>
    <w:rsid w:val="003F37FA"/>
    <w:rsid w:val="00407E51"/>
    <w:rsid w:val="00412588"/>
    <w:rsid w:val="00412F61"/>
    <w:rsid w:val="004144F7"/>
    <w:rsid w:val="00443D92"/>
    <w:rsid w:val="00445195"/>
    <w:rsid w:val="00452521"/>
    <w:rsid w:val="00474C71"/>
    <w:rsid w:val="004809B9"/>
    <w:rsid w:val="00480B27"/>
    <w:rsid w:val="004A2F95"/>
    <w:rsid w:val="004B08F7"/>
    <w:rsid w:val="004B320F"/>
    <w:rsid w:val="004C3562"/>
    <w:rsid w:val="004C49B9"/>
    <w:rsid w:val="004C7DBC"/>
    <w:rsid w:val="004D1649"/>
    <w:rsid w:val="004E5B21"/>
    <w:rsid w:val="004F0681"/>
    <w:rsid w:val="0050101C"/>
    <w:rsid w:val="005026A7"/>
    <w:rsid w:val="0050281D"/>
    <w:rsid w:val="005053D9"/>
    <w:rsid w:val="0051172D"/>
    <w:rsid w:val="00512636"/>
    <w:rsid w:val="00517C7D"/>
    <w:rsid w:val="00523B62"/>
    <w:rsid w:val="005365DE"/>
    <w:rsid w:val="00561BAF"/>
    <w:rsid w:val="00561F16"/>
    <w:rsid w:val="00562E27"/>
    <w:rsid w:val="00580C49"/>
    <w:rsid w:val="00584C77"/>
    <w:rsid w:val="005A78B2"/>
    <w:rsid w:val="005B08A6"/>
    <w:rsid w:val="005C064B"/>
    <w:rsid w:val="005C0995"/>
    <w:rsid w:val="005C20FF"/>
    <w:rsid w:val="005C7906"/>
    <w:rsid w:val="005D7DB8"/>
    <w:rsid w:val="005F038A"/>
    <w:rsid w:val="005F40D7"/>
    <w:rsid w:val="00614855"/>
    <w:rsid w:val="006258B4"/>
    <w:rsid w:val="00630B6C"/>
    <w:rsid w:val="00631765"/>
    <w:rsid w:val="00631899"/>
    <w:rsid w:val="006336BB"/>
    <w:rsid w:val="0067077F"/>
    <w:rsid w:val="00670BBD"/>
    <w:rsid w:val="00675291"/>
    <w:rsid w:val="00675D6E"/>
    <w:rsid w:val="006957A1"/>
    <w:rsid w:val="006B38D6"/>
    <w:rsid w:val="006C087E"/>
    <w:rsid w:val="006C71B6"/>
    <w:rsid w:val="006D13E8"/>
    <w:rsid w:val="006E0ABA"/>
    <w:rsid w:val="006E1DE9"/>
    <w:rsid w:val="006E736B"/>
    <w:rsid w:val="006E77DA"/>
    <w:rsid w:val="006F35FC"/>
    <w:rsid w:val="006F63A1"/>
    <w:rsid w:val="007055FB"/>
    <w:rsid w:val="00706A6A"/>
    <w:rsid w:val="0071084A"/>
    <w:rsid w:val="00714B50"/>
    <w:rsid w:val="0072167F"/>
    <w:rsid w:val="00733354"/>
    <w:rsid w:val="00735E92"/>
    <w:rsid w:val="007451C9"/>
    <w:rsid w:val="00746C6D"/>
    <w:rsid w:val="0075702B"/>
    <w:rsid w:val="00765C00"/>
    <w:rsid w:val="00781B1F"/>
    <w:rsid w:val="007916CB"/>
    <w:rsid w:val="007A20A0"/>
    <w:rsid w:val="007A4282"/>
    <w:rsid w:val="007A53BE"/>
    <w:rsid w:val="007A5B1D"/>
    <w:rsid w:val="007B481C"/>
    <w:rsid w:val="007B6BFC"/>
    <w:rsid w:val="007C30E1"/>
    <w:rsid w:val="007E306F"/>
    <w:rsid w:val="007F2CDB"/>
    <w:rsid w:val="007F3541"/>
    <w:rsid w:val="00823553"/>
    <w:rsid w:val="008247C9"/>
    <w:rsid w:val="00827E76"/>
    <w:rsid w:val="00844270"/>
    <w:rsid w:val="0085753A"/>
    <w:rsid w:val="008623A6"/>
    <w:rsid w:val="0087453F"/>
    <w:rsid w:val="008807D1"/>
    <w:rsid w:val="008827BF"/>
    <w:rsid w:val="008855B7"/>
    <w:rsid w:val="00891B3F"/>
    <w:rsid w:val="00892CA3"/>
    <w:rsid w:val="00893C98"/>
    <w:rsid w:val="008A5FA1"/>
    <w:rsid w:val="008B547A"/>
    <w:rsid w:val="008C3D75"/>
    <w:rsid w:val="008D34B9"/>
    <w:rsid w:val="008F0032"/>
    <w:rsid w:val="0090236E"/>
    <w:rsid w:val="00903CB9"/>
    <w:rsid w:val="00914DD4"/>
    <w:rsid w:val="009171E4"/>
    <w:rsid w:val="00921EB1"/>
    <w:rsid w:val="00932628"/>
    <w:rsid w:val="00936281"/>
    <w:rsid w:val="00940942"/>
    <w:rsid w:val="00956523"/>
    <w:rsid w:val="00963C34"/>
    <w:rsid w:val="00966805"/>
    <w:rsid w:val="009700EA"/>
    <w:rsid w:val="009747D4"/>
    <w:rsid w:val="009A5BF9"/>
    <w:rsid w:val="009C6739"/>
    <w:rsid w:val="009D248B"/>
    <w:rsid w:val="009D2CBC"/>
    <w:rsid w:val="00A10164"/>
    <w:rsid w:val="00A12222"/>
    <w:rsid w:val="00A205B0"/>
    <w:rsid w:val="00A249A1"/>
    <w:rsid w:val="00A42155"/>
    <w:rsid w:val="00A477D6"/>
    <w:rsid w:val="00A50596"/>
    <w:rsid w:val="00A723ED"/>
    <w:rsid w:val="00A802A2"/>
    <w:rsid w:val="00A81FC1"/>
    <w:rsid w:val="00A9213A"/>
    <w:rsid w:val="00AA0085"/>
    <w:rsid w:val="00AB3819"/>
    <w:rsid w:val="00AD7423"/>
    <w:rsid w:val="00AE5FDD"/>
    <w:rsid w:val="00AF08D3"/>
    <w:rsid w:val="00AF4931"/>
    <w:rsid w:val="00AF52E3"/>
    <w:rsid w:val="00B0762E"/>
    <w:rsid w:val="00B1344C"/>
    <w:rsid w:val="00B158F1"/>
    <w:rsid w:val="00B227E8"/>
    <w:rsid w:val="00B30A0F"/>
    <w:rsid w:val="00B314B1"/>
    <w:rsid w:val="00B32D2F"/>
    <w:rsid w:val="00B47D63"/>
    <w:rsid w:val="00B70511"/>
    <w:rsid w:val="00B8264F"/>
    <w:rsid w:val="00B82CE1"/>
    <w:rsid w:val="00B9059E"/>
    <w:rsid w:val="00B949D9"/>
    <w:rsid w:val="00BB15D6"/>
    <w:rsid w:val="00BE0578"/>
    <w:rsid w:val="00BF4BCF"/>
    <w:rsid w:val="00C05A74"/>
    <w:rsid w:val="00C0654A"/>
    <w:rsid w:val="00C16EDE"/>
    <w:rsid w:val="00C3589D"/>
    <w:rsid w:val="00C5434E"/>
    <w:rsid w:val="00C57D38"/>
    <w:rsid w:val="00C62801"/>
    <w:rsid w:val="00C9156A"/>
    <w:rsid w:val="00CA2D93"/>
    <w:rsid w:val="00CA706B"/>
    <w:rsid w:val="00CB3D5C"/>
    <w:rsid w:val="00CB4445"/>
    <w:rsid w:val="00CC0D3B"/>
    <w:rsid w:val="00CC1330"/>
    <w:rsid w:val="00CC4C98"/>
    <w:rsid w:val="00CD382C"/>
    <w:rsid w:val="00CD6E60"/>
    <w:rsid w:val="00D27532"/>
    <w:rsid w:val="00D31C7B"/>
    <w:rsid w:val="00D42961"/>
    <w:rsid w:val="00D43430"/>
    <w:rsid w:val="00D45A60"/>
    <w:rsid w:val="00D66849"/>
    <w:rsid w:val="00D7627E"/>
    <w:rsid w:val="00D830F6"/>
    <w:rsid w:val="00D83E9F"/>
    <w:rsid w:val="00DB537E"/>
    <w:rsid w:val="00DC11F6"/>
    <w:rsid w:val="00DD324B"/>
    <w:rsid w:val="00DD5D85"/>
    <w:rsid w:val="00DD5E39"/>
    <w:rsid w:val="00DE2C01"/>
    <w:rsid w:val="00DF1324"/>
    <w:rsid w:val="00DF22F2"/>
    <w:rsid w:val="00DF33CB"/>
    <w:rsid w:val="00DF53C6"/>
    <w:rsid w:val="00E12B00"/>
    <w:rsid w:val="00E225E4"/>
    <w:rsid w:val="00E3388A"/>
    <w:rsid w:val="00E54D2E"/>
    <w:rsid w:val="00E5623D"/>
    <w:rsid w:val="00E57C83"/>
    <w:rsid w:val="00E611E2"/>
    <w:rsid w:val="00E66C07"/>
    <w:rsid w:val="00E87D59"/>
    <w:rsid w:val="00E920A9"/>
    <w:rsid w:val="00E97AAA"/>
    <w:rsid w:val="00EA0271"/>
    <w:rsid w:val="00EA463B"/>
    <w:rsid w:val="00EB3CD6"/>
    <w:rsid w:val="00EB6509"/>
    <w:rsid w:val="00EB6EDB"/>
    <w:rsid w:val="00EC6C00"/>
    <w:rsid w:val="00ED1D48"/>
    <w:rsid w:val="00F05418"/>
    <w:rsid w:val="00F12A5B"/>
    <w:rsid w:val="00F26F82"/>
    <w:rsid w:val="00F351F6"/>
    <w:rsid w:val="00F41BED"/>
    <w:rsid w:val="00F429B1"/>
    <w:rsid w:val="00F45C03"/>
    <w:rsid w:val="00F47C60"/>
    <w:rsid w:val="00F52F3E"/>
    <w:rsid w:val="00F57759"/>
    <w:rsid w:val="00F73833"/>
    <w:rsid w:val="00F77C90"/>
    <w:rsid w:val="00F95147"/>
    <w:rsid w:val="00FB11DC"/>
    <w:rsid w:val="00FB3482"/>
    <w:rsid w:val="00FB57D4"/>
    <w:rsid w:val="00FC2CB2"/>
    <w:rsid w:val="00FD2B75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2C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2C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9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3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480B27"/>
    <w:rPr>
      <w:b/>
      <w:bCs/>
    </w:rPr>
  </w:style>
  <w:style w:type="paragraph" w:styleId="a6">
    <w:name w:val="No Spacing"/>
    <w:uiPriority w:val="1"/>
    <w:qFormat/>
    <w:rsid w:val="00480B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0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5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5B7"/>
    <w:pPr>
      <w:ind w:left="720"/>
      <w:contextualSpacing/>
    </w:pPr>
  </w:style>
  <w:style w:type="paragraph" w:styleId="ab">
    <w:name w:val="Normal (Web)"/>
    <w:basedOn w:val="a"/>
    <w:uiPriority w:val="99"/>
    <w:rsid w:val="0063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666"/>
  </w:style>
  <w:style w:type="paragraph" w:customStyle="1" w:styleId="ConsPlusNonformat">
    <w:name w:val="ConsPlusNonformat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3166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 ПМД"/>
    <w:basedOn w:val="2"/>
    <w:link w:val="ad"/>
    <w:qFormat/>
    <w:rsid w:val="00231666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d">
    <w:name w:val="Стиль ПМД Знак"/>
    <w:link w:val="ac"/>
    <w:rsid w:val="00231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23166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166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23166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166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316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316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23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A8%D0%B5%D0%BB%D0%BA%D0%BE%D0%B2%D1%81%D0%BA%D0%B0%D1%8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2%D0%B5%D1%80%D0%BE-%D0%9A%D0%B0%D0%B2%D0%BA%D0%B0%D0%B7%D1%81%D0%BA%D0%B0%D1%8F_%D0%B6%D0%B5%D0%BB%D0%B5%D0%B7%D0%BD%D0%B0%D1%8F_%D0%B4%D0%BE%D1%80%D0%BE%D0%B3%D0%B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2%D0%B0%D1%80%D0%BE%D1%89%D0%B5%D0%B4%D1%80%D0%B8%D0%BD%D1%81%D0%BA%D0%B0%D1%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3%D1%80%D0%BE%D0%B7%D0%BD%D1%8B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E%D0%B2%D0%BE%D1%89%D0%B5%D0%B4%D1%80%D0%B8%D0%BD%D1%81%D0%BA%D0%B0%D1%8F" TargetMode="External"/><Relationship Id="rId10" Type="http://schemas.openxmlformats.org/officeDocument/2006/relationships/hyperlink" Target="http://ru.wikipedia.org/wiki/%D0%9A%D0%B8%D0%B7%D0%BB%D1%8F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8%D0%B5%D0%BB%D0%BA%D0%BE%D0%B2%D1%81%D0%BA%D0%B0%D1%8F" TargetMode="External"/><Relationship Id="rId14" Type="http://schemas.openxmlformats.org/officeDocument/2006/relationships/hyperlink" Target="http://ru.wikipedia.org/wiki/%D0%A8%D0%B5%D0%BB%D0%BA%D0%BE%D0%B7%D0%B0%D0%B2%D0%BE%D0%B4%D1%81%D0%BA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9352-1CDF-4C02-B60A-B98C83EC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2016-11-16T08:58:00Z</cp:lastPrinted>
  <dcterms:created xsi:type="dcterms:W3CDTF">2016-10-10T13:47:00Z</dcterms:created>
  <dcterms:modified xsi:type="dcterms:W3CDTF">2016-11-16T09:00:00Z</dcterms:modified>
</cp:coreProperties>
</file>